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r>
        <w:rPr>
          <w:rFonts w:hint="eastAsia"/>
          <w:b/>
          <w:i/>
          <w:sz w:val="28"/>
          <w:lang w:val="en-US" w:eastAsia="zh-CN"/>
        </w:rPr>
        <w:t>0137</w:t>
      </w:r>
    </w:p>
    <w:p w14:paraId="64C91465">
      <w:pPr>
        <w:pStyle w:val="35"/>
        <w:rPr>
          <w:sz w:val="22"/>
          <w:szCs w:val="22"/>
        </w:rPr>
      </w:pPr>
      <w:r>
        <w:rPr>
          <w:sz w:val="24"/>
        </w:rPr>
        <w:t>Goa, India, 09 - 13 February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ascii="Arial" w:hAnsi="Arial" w:cs="Arial"/>
          <w:b/>
          <w:bCs/>
          <w:lang w:val="en-US"/>
        </w:rPr>
        <w:t>, ZTE Corporation</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eastAsia" w:ascii="Arial" w:hAnsi="Arial" w:cs="Arial"/>
          <w:b/>
          <w:bCs/>
          <w:lang w:val="en-US" w:eastAsia="zh-CN"/>
        </w:rPr>
        <w:t xml:space="preserve"> </w:t>
      </w:r>
      <w:r>
        <w:rPr>
          <w:rFonts w:hint="eastAsia" w:ascii="Arial" w:hAnsi="Arial" w:cs="Arial"/>
          <w:b/>
          <w:bCs/>
          <w:lang w:val="en-US"/>
        </w:rPr>
        <w:t>AI/ML-Driven Operatio</w:t>
      </w:r>
      <w:bookmarkStart w:id="11" w:name="_GoBack"/>
      <w:bookmarkEnd w:id="11"/>
      <w:r>
        <w:rPr>
          <w:rFonts w:hint="eastAsia" w:ascii="Arial" w:hAnsi="Arial" w:cs="Arial"/>
          <w:b/>
          <w:bCs/>
          <w:lang w:val="en-US"/>
        </w:rPr>
        <w:t>n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lang w:val="en-US"/>
        </w:rPr>
        <w:t>This contribution proposes to add structure for TR 32.801-01 based on SP-251653</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85F97">
      <w:pPr>
        <w:pStyle w:val="2"/>
      </w:pPr>
      <w:r>
        <w:t>6</w:t>
      </w:r>
      <w:r>
        <w:tab/>
      </w:r>
      <w:r>
        <w:t>6G Management Scenarios</w:t>
      </w:r>
    </w:p>
    <w:p w14:paraId="6579B6AF">
      <w:pPr>
        <w:pStyle w:val="3"/>
        <w:rPr>
          <w:lang w:eastAsia="zh-CN"/>
        </w:rPr>
      </w:pPr>
      <w:r>
        <w:rPr>
          <w:lang w:eastAsia="zh-CN"/>
        </w:rPr>
        <w:t>6.</w:t>
      </w:r>
      <w:r>
        <w:rPr>
          <w:rFonts w:hint="eastAsia"/>
          <w:lang w:val="en-US" w:eastAsia="zh-CN"/>
        </w:rPr>
        <w:t>x</w:t>
      </w:r>
      <w:r>
        <w:rPr>
          <w:lang w:eastAsia="zh-CN"/>
        </w:rPr>
        <w:t xml:space="preserve"> Enhanced and new management scenarios for 6G</w:t>
      </w:r>
    </w:p>
    <w:p w14:paraId="213EF54E">
      <w:pPr>
        <w:rPr>
          <w:i/>
        </w:rPr>
      </w:pPr>
      <w:r>
        <w:rPr>
          <w:i/>
        </w:rPr>
        <w:t>Editor's note 1: This clause will contain new 6G management scenarios and the corresponding requirements.</w:t>
      </w:r>
    </w:p>
    <w:p w14:paraId="07E7E3FD">
      <w:pPr>
        <w:pStyle w:val="4"/>
        <w:rPr>
          <w:rFonts w:hint="default"/>
          <w:lang w:val="en-US" w:eastAsia="zh-CN"/>
        </w:rPr>
      </w:pPr>
      <w:r>
        <w:rPr>
          <w:lang w:eastAsia="zh-CN"/>
        </w:rPr>
        <w:t>6.</w:t>
      </w:r>
      <w:r>
        <w:rPr>
          <w:rFonts w:hint="eastAsia"/>
          <w:lang w:val="en-US" w:eastAsia="zh-CN"/>
        </w:rPr>
        <w:t>x</w:t>
      </w:r>
      <w:r>
        <w:rPr>
          <w:lang w:eastAsia="zh-CN"/>
        </w:rPr>
        <w:t>.</w:t>
      </w:r>
      <w:r>
        <w:rPr>
          <w:rFonts w:hint="eastAsia"/>
          <w:lang w:val="en-US" w:eastAsia="zh-CN"/>
        </w:rPr>
        <w:t>y</w:t>
      </w:r>
      <w:r>
        <w:rPr>
          <w:lang w:eastAsia="zh-CN"/>
        </w:rPr>
        <w:t xml:space="preserve"> &lt;</w:t>
      </w:r>
      <w:r>
        <w:rPr>
          <w:rFonts w:hint="eastAsia"/>
        </w:rPr>
        <w:t>AI/ML-Driven Operation Scenarios</w:t>
      </w:r>
      <w:r>
        <w:rPr>
          <w:lang w:eastAsia="zh-CN"/>
        </w:rPr>
        <w:t>#1&gt;</w:t>
      </w:r>
      <w:r>
        <w:rPr>
          <w:rFonts w:hint="eastAsia"/>
          <w:lang w:val="en-US" w:eastAsia="zh-CN"/>
        </w:rPr>
        <w:t xml:space="preserve"> </w:t>
      </w:r>
    </w:p>
    <w:p w14:paraId="77CF64C0">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 xml:space="preserve"> Management Scenario #&lt;1&gt;: &lt;</w:t>
      </w:r>
      <w:r>
        <w:rPr>
          <w:rFonts w:hint="default"/>
          <w:sz w:val="28"/>
          <w:lang w:eastAsia="zh-CN"/>
        </w:rPr>
        <w:t>Predictive Maintenance and Fault Prediction</w:t>
      </w:r>
      <w:r>
        <w:rPr>
          <w:sz w:val="28"/>
          <w:lang w:eastAsia="zh-CN"/>
        </w:rPr>
        <w:t>&gt;</w:t>
      </w:r>
    </w:p>
    <w:p w14:paraId="6A590711">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.1 Description</w:t>
      </w:r>
    </w:p>
    <w:p w14:paraId="4217B0C0">
      <w:pPr>
        <w:ind w:firstLine="420" w:firstLineChars="200"/>
        <w:jc w:val="both"/>
        <w:rPr>
          <w:rFonts w:hint="eastAsia" w:ascii="Segoe UI" w:hAnsi="Segoe UI" w:eastAsia="Segoe UI" w:cs="Segoe UI"/>
          <w:color w:val="0F1115"/>
          <w:sz w:val="21"/>
          <w:szCs w:val="21"/>
          <w:shd w:val="clear" w:fill="FFFFFF"/>
        </w:rPr>
      </w:pPr>
      <w:r>
        <w:rPr>
          <w:rFonts w:hint="eastAsia" w:ascii="Segoe UI" w:hAnsi="Segoe UI" w:eastAsia="Segoe UI" w:cs="Segoe UI"/>
          <w:color w:val="0F1115"/>
          <w:sz w:val="21"/>
          <w:szCs w:val="21"/>
          <w:shd w:val="clear" w:fill="FFFFFF"/>
        </w:rPr>
        <w:t>The predictive maintenance and fault prediction scenario driven by AI/ML is positioned as one of the core enabling scenarios for achieving the goals of "endogenous intelligence" and "zero-fault resilience" in networks. It transcends the reactive response and fixed-rule-based early warning of traditional network management, aiming to build an autonomous network operation and maintenance system capable of self-sensing, self-diagnosing, self-predicting, and self-optimizing. This scenario continuously collects massive, multi-dimensional, and highly dynamic operation and maintenance data through intelligent sensing probes and sensors deployed at various layers of the network (physical layer, link layer, network layer, service layer) and various network elements (base stations, core network elements, transmission equipment, terminals, slice instances). These data not only include traditional performance counters, alarm logs, and configuration information but also extend to channel state information, internal hardware status of devices (such as chip temperature, power consumption, memory usage), physical environmental parameters (such as vibration, humidity), and micro-characteristics of business traffic. Based on this, advanced machine learning (such as deep learning, federated learning, graph neural networks, anomaly detection algorithms) and artificial intelligence models are utilized to conduct real-time assessments and trend extrapolation of the health status of network entities and logical objects.</w:t>
      </w:r>
    </w:p>
    <w:p w14:paraId="17C1F6A8">
      <w:pPr>
        <w:ind w:firstLine="420" w:firstLineChars="200"/>
        <w:jc w:val="both"/>
        <w:rPr>
          <w:rFonts w:hint="eastAsia" w:ascii="宋体" w:hAnsi="宋体" w:cs="宋体"/>
          <w:sz w:val="21"/>
          <w:szCs w:val="21"/>
          <w:lang w:val="en-US" w:eastAsia="zh-CN"/>
        </w:rPr>
      </w:pPr>
      <w:r>
        <w:rPr>
          <w:rFonts w:hint="eastAsia" w:ascii="Segoe UI" w:hAnsi="Segoe UI" w:eastAsia="Segoe UI" w:cs="Segoe UI"/>
          <w:color w:val="0F1115"/>
          <w:sz w:val="21"/>
          <w:szCs w:val="21"/>
          <w:shd w:val="clear" w:fill="FFFFFF"/>
        </w:rPr>
        <w:t>For example, in the context of radio access network (RAN) fault prediction and maintenance, we focus on RAN devices such as gNBs, DU/CUs, and antenna systems. We predict hardware failures (like aging RF modules and power amplifier malfunctions) and software anomalies (such as protocol stack crashes and scheduling algorithm failures). The business process is as follows:</w:t>
      </w:r>
    </w:p>
    <w:p w14:paraId="4FEA98C4">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399" w:firstLineChars="19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1. The intelligent probes deployed on gNB-6G continuously collect radio frequency indicators (SINR, transmit power, bit error rate), hardware status (temperature, power consumption, fan speed), and software logs.</w:t>
      </w:r>
    </w:p>
    <w:p w14:paraId="52DBC68D">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399" w:firstLineChars="19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2. Edge computing nodes analyze data in real-time to extract fault characteristics (such as increased fluctuation in transmit power and continuous temperature rise).</w:t>
      </w:r>
    </w:p>
    <w:p w14:paraId="56A09567">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399" w:firstLineChars="19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3. NWDAF utilizes a pre-trained GNN model, combined with network topology data, to predict the occurrence time of faults (such as the potential failure of the RF module after 24 hours) and the scope of impact (such as affecting 10% of users within the coverage area).</w:t>
      </w:r>
    </w:p>
    <w:p w14:paraId="54CAB5C9">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399" w:firstLineChars="19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4. Orchestrator generates maintenance decision: Replace the RF module during the low user peak period from 2-4 am, and simultaneously switch the traffic in this area to the adjacent gNB-6G.</w:t>
      </w:r>
    </w:p>
    <w:p w14:paraId="182925F6">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399" w:firstLineChars="19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5. The automated execution engine issues configuration instructions through the NETCONF protocol to complete traffic migration and module replacement.</w:t>
      </w:r>
    </w:p>
    <w:p w14:paraId="115614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6. The closed-loop control module verifies the maintenance effect and updates the model parameters.</w:t>
      </w:r>
    </w:p>
    <w:p w14:paraId="7AD1912C">
      <w:pPr>
        <w:ind w:firstLine="0" w:firstLineChars="0"/>
        <w:rPr>
          <w:rFonts w:hint="default" w:ascii="宋体" w:hAnsi="宋体" w:eastAsia="宋体" w:cs="宋体"/>
          <w:sz w:val="21"/>
          <w:szCs w:val="21"/>
          <w:lang w:val="en-US" w:eastAsia="zh-CN"/>
        </w:rPr>
      </w:pPr>
    </w:p>
    <w:p w14:paraId="747117FA">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 xml:space="preserve">..2 </w:t>
      </w:r>
      <w:r>
        <w:rPr>
          <w:rFonts w:hint="eastAsia"/>
          <w:sz w:val="28"/>
          <w:lang w:eastAsia="zh-CN"/>
        </w:rPr>
        <w:t>Potential Requirements</w:t>
      </w:r>
    </w:p>
    <w:p w14:paraId="238B20F6">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292F195C">
      <w:pPr>
        <w:ind w:firstLine="420" w:firstLineChars="200"/>
        <w:jc w:val="both"/>
        <w:rPr>
          <w:rFonts w:hint="eastAsia"/>
          <w:sz w:val="21"/>
          <w:szCs w:val="21"/>
        </w:rPr>
      </w:pPr>
      <w:r>
        <w:rPr>
          <w:rFonts w:hint="eastAsia"/>
          <w:sz w:val="21"/>
          <w:szCs w:val="21"/>
        </w:rPr>
        <w:t>[Sample-Biz-Req-3] The 3GPP management system should support the collection and modeling of multi-dimensional time-series data from RF, hardware, and the environment, providing a unified high-quality data source for fault prediction.</w:t>
      </w:r>
    </w:p>
    <w:p w14:paraId="5DB694B8">
      <w:pPr>
        <w:ind w:firstLine="420" w:firstLineChars="200"/>
        <w:jc w:val="both"/>
        <w:rPr>
          <w:rFonts w:hint="eastAsia"/>
          <w:sz w:val="21"/>
          <w:szCs w:val="21"/>
        </w:rPr>
      </w:pPr>
      <w:r>
        <w:rPr>
          <w:rFonts w:hint="eastAsia"/>
          <w:sz w:val="21"/>
          <w:szCs w:val="21"/>
        </w:rPr>
        <w:t>[Sample-Biz-Req-4] The 3GPP management system should support the output of standardized prediction results (such as failure time and impact scope), and be able to automatically generate executable maintenance decisions and plans based on these results.</w:t>
      </w:r>
    </w:p>
    <w:p w14:paraId="70278DB7">
      <w:pPr>
        <w:ind w:firstLine="420" w:firstLineChars="200"/>
        <w:jc w:val="both"/>
        <w:rPr>
          <w:rFonts w:hint="eastAsia"/>
          <w:sz w:val="21"/>
          <w:szCs w:val="21"/>
        </w:rPr>
      </w:pPr>
      <w:r>
        <w:rPr>
          <w:rFonts w:hint="eastAsia"/>
          <w:sz w:val="21"/>
          <w:szCs w:val="21"/>
        </w:rPr>
        <w:t>[Sample-Biz-Req-5] The 3GPP management system should ensure the security and trustworthiness of the entire predictive maintenance process (data, models, instructions), and provide interpretable outputs based on predictive evidence.</w:t>
      </w:r>
    </w:p>
    <w:p w14:paraId="39BFF223">
      <w:pPr>
        <w:ind w:firstLine="420" w:firstLineChars="200"/>
        <w:jc w:val="both"/>
        <w:rPr>
          <w:rFonts w:hint="default" w:ascii="Segoe UI" w:hAnsi="Segoe UI" w:eastAsia="Segoe UI" w:cs="Segoe UI"/>
          <w:color w:val="0F1115"/>
          <w:sz w:val="21"/>
          <w:szCs w:val="21"/>
          <w:shd w:val="clear" w:fill="FFFFFF"/>
          <w:lang w:val="en-US" w:eastAsia="zh-CN"/>
        </w:rPr>
      </w:pPr>
      <w:r>
        <w:rPr>
          <w:rFonts w:hint="eastAsia"/>
          <w:sz w:val="21"/>
          <w:szCs w:val="21"/>
        </w:rPr>
        <w:t>[Sample-Biz-Req-6] The 3GPP management system should support automated verification and evaluation of the actual effects of maintenance actions, and provide feedback on the results to continuously optimize the prediction model.</w:t>
      </w:r>
    </w:p>
    <w:p w14:paraId="76972D4E">
      <w:pPr>
        <w:numPr>
          <w:ilvl w:val="0"/>
          <w:numId w:val="0"/>
        </w:numPr>
        <w:ind w:firstLine="420" w:firstLineChars="200"/>
        <w:rPr>
          <w:rFonts w:hint="eastAsia" w:ascii="Segoe UI" w:hAnsi="Segoe UI" w:eastAsia="Segoe UI" w:cs="Segoe UI"/>
          <w:b/>
          <w:bCs/>
          <w:color w:val="0F1115"/>
          <w:sz w:val="21"/>
          <w:szCs w:val="21"/>
          <w:u w:val="none"/>
          <w:shd w:val="clear" w:fill="FFFFFF"/>
          <w:lang w:val="en-US" w:eastAsia="zh-CN" w:bidi="ar"/>
        </w:rPr>
      </w:pPr>
    </w:p>
    <w:p w14:paraId="5D443B72">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528D3146">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Key Issue 1: Multi-source, High-fidelity Data Acquisition for Predictive Health</w:t>
      </w:r>
    </w:p>
    <w:p w14:paraId="19A69FC1">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To achieve accurate predictions, the management system needs to address how to standardize the collection and aggregation of multi-dimensional heterogeneous time-series data, such as radio frequency indicators, hardware telemetry, and environmental sensing, from heterogeneous network elements (such as gNBs, CUs/DUs) and their hardware modules (such as radio frequency units), while ensuring the real-time, integrity, and semantic consistency of the data.</w:t>
      </w:r>
    </w:p>
    <w:p w14:paraId="611AA0FC">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Potential Technical Requirements for KI-1:</w:t>
      </w:r>
    </w:p>
    <w:p w14:paraId="6F96C502">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[Tech-Req-KI-1-1] The management system should support the definition and publication of a unified data model (such as YANG model) to describe the structure, semantics, and association relationships of data such as radio frequency indicators (SINR, transmit power), hardware status (temperature, power consumption), software logs, and environmental parameters in a standardized manner.</w:t>
      </w:r>
    </w:p>
    <w:p w14:paraId="48B863A7">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[Tech-Req-KI-1-2] The management system should standardize the data flow interface and transmission protocol from intelligent probes/sensors to edge analysis nodes or core acquisition functions, supporting high-frequency, low-latency streaming data transmission.</w:t>
      </w:r>
    </w:p>
    <w:p w14:paraId="787A757F">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[Tech-Req-KI-1-3] The management system should provide data quality monitoring capabilities, enabling real-time assessment and reporting of the completeness, accuracy, and timeliness of collected data, and supporting policy-based handling of abnormal data.</w:t>
      </w:r>
    </w:p>
    <w:p w14:paraId="6361CA65">
      <w:pPr>
        <w:ind w:firstLine="420" w:firstLineChars="200"/>
        <w:jc w:val="both"/>
        <w:rPr>
          <w:rFonts w:hint="default" w:ascii="Segoe UI" w:hAnsi="Segoe UI" w:eastAsia="Segoe UI" w:cs="Segoe UI"/>
          <w:color w:val="0F1115"/>
          <w:sz w:val="21"/>
          <w:szCs w:val="21"/>
          <w:shd w:val="clear" w:fill="FFFFFF"/>
          <w:lang w:eastAsia="zh-CN"/>
        </w:rPr>
      </w:pPr>
    </w:p>
    <w:p w14:paraId="5A4934EE">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Key Issue 2: Hierarchical Collaborative Inference &amp; Model Lifecycle Management</w:t>
      </w:r>
    </w:p>
    <w:p w14:paraId="70ADFC64">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To meet the collaborative needs from edge real-time detection to core deep analysis, the management system needs to address the standardized deployment, collaborative inference, as well as federated learning and continuous model iteration issues of AI models (such as GNN, anomaly detection models) between the edge and core (such as NWDAF), while protecting privacy.</w:t>
      </w:r>
    </w:p>
    <w:p w14:paraId="4BAC87FF">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Potential Technical Requirements for KI-2:</w:t>
      </w:r>
    </w:p>
    <w:p w14:paraId="282ECD8A">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[Tech-Req-KI-2-1] The management system should support the standard package format of AI models (including models, metadata, and performance metrics), and define standardized deployment, activation, and retirement processes from the model repository to edge nodes and NWDAF.</w:t>
      </w:r>
    </w:p>
    <w:p w14:paraId="6313E8A4">
      <w:pPr>
        <w:ind w:firstLine="420" w:firstLineChars="200"/>
        <w:jc w:val="both"/>
        <w:rPr>
          <w:rFonts w:hint="default" w:ascii="Segoe UI" w:hAnsi="Segoe UI" w:eastAsia="Segoe UI" w:cs="Segoe UI"/>
          <w:color w:val="0F1115"/>
          <w:sz w:val="21"/>
          <w:szCs w:val="21"/>
          <w:shd w:val="clear" w:fill="FFFFFF"/>
          <w:lang w:eastAsia="zh-CN"/>
        </w:rPr>
      </w:pPr>
    </w:p>
    <w:p w14:paraId="36FAC117">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[Tech-Req-KI-2-2] The management system should standardize the collaborative inference interface between edge nodes and NWDAF, encompassing task triggering, feature data/intermediate result reporting, model invocation instructions, and the return of prediction results.</w:t>
      </w:r>
    </w:p>
    <w:p w14:paraId="47F7F6C5">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[Tech-Req-KI-2-3] The management system should standardize the collaborative inference interface between edge nodes and NWDAF, encompassing task triggering, feature data/intermediate result reporting, model invocation instructions, and the return of prediction results.</w:t>
      </w:r>
    </w:p>
    <w:p w14:paraId="7B1711B4">
      <w:pPr>
        <w:ind w:firstLine="420" w:firstLineChars="200"/>
        <w:jc w:val="both"/>
        <w:rPr>
          <w:rFonts w:hint="default" w:ascii="Segoe UI" w:hAnsi="Segoe UI" w:eastAsia="Segoe UI" w:cs="Segoe UI"/>
          <w:color w:val="0F1115"/>
          <w:sz w:val="21"/>
          <w:szCs w:val="21"/>
          <w:shd w:val="clear" w:fill="FFFFFF"/>
          <w:lang w:eastAsia="zh-CN"/>
        </w:rPr>
      </w:pPr>
    </w:p>
    <w:p w14:paraId="092E66B7">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Key Issue 3: Automated Decision Generation &amp; Execution Orchestration</w:t>
      </w:r>
    </w:p>
    <w:p w14:paraId="7FE6F282">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To achieve a seamless closed loop from prediction to action, the management system needs to address how to automatically convert standardized prediction outputs (fault time, impact scope) into executable and optimal maintenance decisions, and safely and reliably issue them to the network execution layer.</w:t>
      </w:r>
    </w:p>
    <w:p w14:paraId="14183A7E">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Potential Technical Requirements for KI-3:</w:t>
      </w:r>
    </w:p>
    <w:p w14:paraId="34EDF7A8">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[Tech-Req-KI-3-1] The management system should standardize the standardized output data format and interface for prediction results (such as predicted fault entity ID, expected occurrence time, scope of affected business/users, and confidence level).</w:t>
      </w:r>
    </w:p>
    <w:p w14:paraId="64E75AEB">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[Tech-Req-KI-3-2] The management system should support the orchestrator to automatically generate maintenance work orders containing specific actions (such as equipment replacement, traffic migration), execution time windows, and fallback plans based on preset policy libraries, real-time network status (such as business load), and standardized prediction results.</w:t>
      </w:r>
    </w:p>
    <w:p w14:paraId="3D59AA31">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[Tech-Req-KI-3-3] The management system should provide a standardized execution interface (such as based on NETCONF/YANG) to support orchestrators or execution engines in securely and reliably issuing maintenance instructions such as configuration changes and resource adjustments to target network elements.</w:t>
      </w:r>
    </w:p>
    <w:p w14:paraId="4FB4FD98">
      <w:pPr>
        <w:ind w:firstLine="420" w:firstLineChars="200"/>
        <w:jc w:val="both"/>
        <w:rPr>
          <w:rFonts w:hint="default" w:ascii="Segoe UI" w:hAnsi="Segoe UI" w:eastAsia="Segoe UI" w:cs="Segoe UI"/>
          <w:color w:val="0F1115"/>
          <w:sz w:val="21"/>
          <w:szCs w:val="21"/>
          <w:shd w:val="clear" w:fill="FFFFFF"/>
          <w:lang w:eastAsia="zh-CN"/>
        </w:rPr>
      </w:pPr>
    </w:p>
    <w:p w14:paraId="669A1A77">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Key Issue 4: Security, Trustworthiness &amp; Closed-loop Evolution</w:t>
      </w:r>
    </w:p>
    <w:p w14:paraId="13542731">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To establish a credible autonomous operation and maintenance system, the management system must ensure the safety and auditability of the entire predictive maintenance process, provide explanations for decision-making to assist human intervention, and construct a self-optimizing closed loop for models and strategies based on actual maintenance effect feedback.</w:t>
      </w:r>
    </w:p>
    <w:p w14:paraId="1625E429">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Potential Technical Requirements for KI-4:</w:t>
      </w:r>
    </w:p>
    <w:p w14:paraId="19E06498">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[Tech-Req-KI-4-1] The management system should implement end-to-end security protection for maintenance pipelines, including data transmission encryption, model integrity verification, anti-poisoning attack prevention, as well as strong identity authentication and fine-grained authorization for automated execution of instructions.</w:t>
      </w:r>
    </w:p>
    <w:p w14:paraId="57C418DE">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[Tech-Req-KI-4-2] The management system should require AI analysis functions (such as NWDAF) to provide standardized interpretable outputs, explaining the key prediction basis (such as the abnormal indicators leading to the prediction and their thresholds, trends).</w:t>
      </w:r>
    </w:p>
    <w:p w14:paraId="0FF16BE6">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[Tech-Req-KI-4-3] The management system should support a "execution-monitoring-verification" closed loop, capable of automatically collecting network KPI and device status data after maintenance actions, comparing them with expected outcomes, generating effect evaluation reports (such as whether failures are avoided, and the duration of business interruptions), and using this as feedback data to trigger model retraining or strategy optimization.</w:t>
      </w:r>
    </w:p>
    <w:p w14:paraId="1D89DC3E">
      <w:pPr>
        <w:ind w:firstLine="420" w:firstLineChars="200"/>
        <w:jc w:val="both"/>
        <w:rPr>
          <w:rFonts w:hint="default" w:ascii="Segoe UI" w:hAnsi="Segoe UI" w:eastAsia="Segoe UI" w:cs="Segoe UI"/>
          <w:color w:val="0F1115"/>
          <w:sz w:val="21"/>
          <w:szCs w:val="21"/>
          <w:shd w:val="clear" w:fill="FFFFFF"/>
          <w:lang w:eastAsia="zh-CN"/>
        </w:rPr>
      </w:pPr>
    </w:p>
    <w:p w14:paraId="45FE449A">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 Management Scenario #&lt;2&gt;: &lt;</w:t>
      </w:r>
      <w:r>
        <w:rPr>
          <w:rFonts w:hint="default"/>
          <w:sz w:val="28"/>
          <w:lang w:eastAsia="zh-CN"/>
        </w:rPr>
        <w:t>AI-Based Network Optimization</w:t>
      </w:r>
      <w:r>
        <w:rPr>
          <w:sz w:val="28"/>
          <w:lang w:eastAsia="zh-CN"/>
        </w:rPr>
        <w:t>&gt;</w:t>
      </w:r>
    </w:p>
    <w:p w14:paraId="469A950C">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.2.1 Description</w:t>
      </w:r>
    </w:p>
    <w:p w14:paraId="4996FFF0">
      <w:pPr>
        <w:keepNext w:val="0"/>
        <w:keepLines w:val="0"/>
        <w:widowControl/>
        <w:suppressLineNumbers w:val="0"/>
        <w:ind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val="en-US" w:eastAsia="zh-CN"/>
        </w:rPr>
        <w:t>The AI-based network optimization scenario serves as a core enabling scenario for achieving the goals of "extreme performance" and "resource optimization" in networks. It aims to evolve from traditional static optimization based on thresholds and fixed strategies to a dynamic global optimization paradigm based on real-time environmental perception, multi-objective coordination, and continuous autonomous learning. This scenario relies on intelligent perception probes and edge acquisition units deployed across all levels of the network (physical layer, link layer, network layer, service layer, application layer) and various 6G network elements (gNB-6G, DU-6G/CU-6G, core network elements, transmission equipment, terminals, slice instances, integrated perception and communication nodes), continuously collecting massive, multi-dimensional, and highly dynamic network operation and service data. These data not only cover traditional performance counters (KPIs/KQIs), configuration parameters, and service traffic statistics, but also extend to spectrum resource occupancy status, air interface channel characteristics (CSI/RSRP dynamic changes), network element resource utilization (CPU/memory/bandwidth), user service characteristics (service type, QoS requirements, access location and timing changes), cross-domain resource association relationships, and perception and communication resource conflict data in integrated perception and communication scenarios. Based on this, machine learning and artificial intelligence models (such as reinforcement learning, Transformer time series prediction, graph neural networks, federated learning, multi-objective optimization algorithms) are utilized to perform real-time dynamic optimization of network resource allocation, parameter configuration, and service scheduling strategies, achieving the globally optimal balance of network performance, resource efficiency, and service experience.</w:t>
      </w:r>
    </w:p>
    <w:p w14:paraId="1016EB2E">
      <w:pPr>
        <w:keepNext w:val="0"/>
        <w:keepLines w:val="0"/>
        <w:widowControl/>
        <w:suppressLineNumbers w:val="0"/>
        <w:ind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val="en-US" w:eastAsia="zh-CN"/>
        </w:rPr>
        <w:t>For example, 6G RAN dynamic resource and parameter optimization aims to optimize air interface parameters (transmitting power, time slot allocation, modulation and coding scheme, beamforming direction) and resource scheduling (bandwidth allocation, computational resource offloading, multi-connection switching strategy) for wireless access network devices such as gNB-6G, DU-6G/CU-6G, and intelligent antenna arrays. It addresses issues such as resource conflicts, interference suppression, and service adaptation in 6G integrated perception and ultra-dense networking, thereby enhancing spectral efficiency and user QoE. The business process is as follows:</w:t>
      </w:r>
    </w:p>
    <w:p w14:paraId="0BB2DCE5">
      <w:pPr>
        <w:keepNext w:val="0"/>
        <w:keepLines w:val="0"/>
        <w:widowControl/>
        <w:suppressLineNumbers w:val="0"/>
        <w:ind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val="en-US" w:eastAsia="zh-CN"/>
        </w:rPr>
        <w:t>1. Perception probes deployed on gNB-6G, DU-6G, and smart antennas continuously collect air interface metrics (SINR, RSRP, interference level, beam alignment accuracy), resource status (slot occupancy rate, bandwidth utilization rate, computing load), service data (number of user accesses, service types and QoS requirements, traffic timing characteristics), and occupancy of perception and communication resources.</w:t>
      </w:r>
    </w:p>
    <w:p w14:paraId="57702F75">
      <w:pPr>
        <w:keepNext w:val="0"/>
        <w:keepLines w:val="0"/>
        <w:widowControl/>
        <w:suppressLineNumbers w:val="0"/>
        <w:ind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val="en-US" w:eastAsia="zh-CN"/>
        </w:rPr>
        <w:t>2. Edge computing nodes perform real-time preprocessing on collected data, extract core features (such as high interference periods/areas, peak traffic patterns, and beam misalignment frequencies), filter redundant data, and generate optimized feature sets, ensuring that the analysis latency is controlled within 5ms.</w:t>
      </w:r>
    </w:p>
    <w:p w14:paraId="64583FDC">
      <w:pPr>
        <w:keepNext w:val="0"/>
        <w:keepLines w:val="0"/>
        <w:widowControl/>
        <w:suppressLineNumbers w:val="0"/>
        <w:ind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val="en-US" w:eastAsia="zh-CN"/>
        </w:rPr>
        <w:t>3. The NWDAF utilizes a pre-trained Reinforcement Learning (RL) model and a Transformer time series prediction model, combining network topology data and user movement trajectory predictions, to output air interface parameter optimization schemes (such as dynamically adjusting beamforming angles and optimizing modulation and coding schemes) and resource scheduling strategies (such as dynamic time slot division and balanced computing load allocation). It also evaluates the impact of the optimization schemes on the integrated communication and sensing services.</w:t>
      </w:r>
    </w:p>
    <w:p w14:paraId="0408F619">
      <w:pPr>
        <w:keepNext w:val="0"/>
        <w:keepLines w:val="0"/>
        <w:widowControl/>
        <w:suppressLineNumbers w:val="0"/>
        <w:ind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val="en-US" w:eastAsia="zh-CN"/>
        </w:rPr>
        <w:t>4. The orchestrator generates optimal execution decisions based on the output results of NWDAF: it determines the parameter adjustment window and resource reallocation scheme without affecting high-priority services (such as Internet of Vehicles and telemedicine), and simultaneously formulates interference avoidance plans.</w:t>
      </w:r>
    </w:p>
    <w:p w14:paraId="2A36C8F4">
      <w:pPr>
        <w:keepNext w:val="0"/>
        <w:keepLines w:val="0"/>
        <w:widowControl/>
        <w:suppressLineNumbers w:val="0"/>
        <w:ind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val="en-US" w:eastAsia="zh-CN"/>
        </w:rPr>
        <w:t>5. The automated execution engine issues configuration instructions to complete the air interface parameter updates for gNB-6G and DU-6G, adjust resource scheduling rules, and optimize beamforming strategies, achieving seamless configuration changes without user perception.</w:t>
      </w:r>
    </w:p>
    <w:p w14:paraId="0F679B38">
      <w:pPr>
        <w:ind w:firstLine="420" w:firstLineChars="200"/>
        <w:jc w:val="both"/>
        <w:rPr>
          <w:lang w:eastAsia="zh-CN"/>
        </w:rPr>
      </w:pPr>
      <w:r>
        <w:rPr>
          <w:rFonts w:hint="eastAsia" w:ascii="Segoe UI" w:hAnsi="Segoe UI" w:eastAsia="Segoe UI" w:cs="Segoe UI"/>
          <w:color w:val="0F1115"/>
          <w:sz w:val="21"/>
          <w:szCs w:val="21"/>
          <w:shd w:val="clear" w:fill="FFFFFF"/>
          <w:lang w:val="en-US" w:eastAsia="zh-CN"/>
        </w:rPr>
        <w:t>6. The closed-loop control module monitors optimized data (spectrum efficiency, interference level, user QoE score, resource utilization rate) in real time, feeds back the optimization effect to the AI model, updates model parameters through incremental learning, and continuously iterates optimization strategies.</w:t>
      </w:r>
    </w:p>
    <w:p w14:paraId="76AB5D20">
      <w:pPr>
        <w:ind w:firstLine="400" w:firstLineChars="200"/>
        <w:rPr>
          <w:lang w:eastAsia="zh-CN"/>
        </w:rPr>
      </w:pPr>
    </w:p>
    <w:p w14:paraId="2F9A1AAE">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 xml:space="preserve">.2.2 </w:t>
      </w:r>
      <w:r>
        <w:rPr>
          <w:rFonts w:hint="eastAsia"/>
          <w:sz w:val="28"/>
          <w:lang w:eastAsia="zh-CN"/>
        </w:rPr>
        <w:t>Potential  Requirements</w:t>
      </w:r>
    </w:p>
    <w:p w14:paraId="702319D3">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945C906">
      <w:pPr>
        <w:ind w:firstLine="400" w:firstLineChars="200"/>
        <w:jc w:val="both"/>
        <w:rPr>
          <w:rFonts w:hint="eastAsia"/>
        </w:rPr>
      </w:pPr>
      <w:r>
        <w:rPr>
          <w:rFonts w:hint="eastAsia"/>
        </w:rPr>
        <w:t>[Sample-Biz-Req-1] : The 3GPP management system should support the definition of a unified data model across layers and domains, as well as millisecond-level real-time data pipelines, to achieve dynamic and precise perception of network environment and business status.</w:t>
      </w:r>
    </w:p>
    <w:p w14:paraId="64381633">
      <w:pPr>
        <w:ind w:firstLine="400" w:firstLineChars="200"/>
        <w:jc w:val="both"/>
        <w:rPr>
          <w:rFonts w:hint="eastAsia"/>
        </w:rPr>
      </w:pPr>
      <w:r>
        <w:rPr>
          <w:rFonts w:hint="eastAsia"/>
        </w:rPr>
        <w:t>[Sample-Biz-Req-2] : The 3GPP management system should support the standard package format for AI models, hierarchical collaborative inference, and a federated learning framework, enabling secure and efficient deployment and iteration of models in heterogeneous environments.</w:t>
      </w:r>
    </w:p>
    <w:p w14:paraId="1B238CC3">
      <w:pPr>
        <w:ind w:firstLine="400" w:firstLineChars="200"/>
        <w:jc w:val="both"/>
        <w:rPr>
          <w:rFonts w:hint="eastAsia"/>
        </w:rPr>
      </w:pPr>
      <w:r>
        <w:rPr>
          <w:rFonts w:hint="eastAsia"/>
        </w:rPr>
        <w:t>[Sample-Biz-Req-3] : The 3GPP management system should support component decoupling and integration based on a service-oriented architecture, and standardize data interaction interfaces with external systems such as network digital twins.</w:t>
      </w:r>
    </w:p>
    <w:p w14:paraId="19938E08">
      <w:pPr>
        <w:ind w:firstLine="400" w:firstLineChars="200"/>
        <w:jc w:val="both"/>
        <w:rPr>
          <w:rFonts w:hint="eastAsia"/>
        </w:rPr>
      </w:pPr>
      <w:r>
        <w:rPr>
          <w:rFonts w:hint="eastAsia"/>
        </w:rPr>
        <w:t>[Sample-Biz-Req-4] : The 3GPP management system should support the establishment of a secure and trusted system encompassing data, models, and instructions, and implement closed-loop self-optimization and strategy iteration based on performance feedback.</w:t>
      </w:r>
    </w:p>
    <w:p w14:paraId="484E1F57">
      <w:pPr>
        <w:ind w:firstLine="400" w:firstLineChars="200"/>
        <w:rPr>
          <w:rFonts w:hint="default"/>
          <w:lang w:eastAsia="zh-CN"/>
        </w:rPr>
      </w:pPr>
    </w:p>
    <w:p w14:paraId="54AC334C">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72929584">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Key Issue 1: Unified Data Fabric for Real-time Perception</w:t>
      </w:r>
    </w:p>
    <w:p w14:paraId="2DB5E2DF">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To support millisecond-level dynamic optimization, the management system needs to address the standardized collection, modeling, and real-time transmission of cross-layer, cross-vendor, and multi-modal network data, ranging from physical layer channel states to application layer service characteristics. This ensures that the data is comprehensible, correlatable, and meets extremely low latency requirements.Potential Technical Requirements for KI-1:</w:t>
      </w:r>
    </w:p>
    <w:p w14:paraId="3139DE84">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[Tech-Req-KI-1-1] The management system should support the definition of a unified, semantically rich multi-domain data model (YANG/other), which needs to be able to describe the spatiotemporal associations and contexts between data (such as business priorities, topological relationships).</w:t>
      </w:r>
    </w:p>
    <w:p w14:paraId="4EC4675D">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[Tech-Req-KI-1-2] The management system should standardize the data flow interfaces from intelligent probes to edge nodes and core analysis functions, and support configurable data preprocessing (such as filtering, aggregation, and feature extraction) functions to meet the end-to-end processing latency requirement of ≤5ms.</w:t>
      </w:r>
    </w:p>
    <w:p w14:paraId="4EAAD0E2">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[Tech-Req-KI-1-3] The management system should provide real-time monitoring and reporting capabilities for data quality (such as completeness, freshness, and accuracy), and support policy-based handling of data quality anomalies.</w:t>
      </w:r>
    </w:p>
    <w:p w14:paraId="36FE6784">
      <w:pPr>
        <w:ind w:firstLine="420" w:firstLineChars="200"/>
        <w:jc w:val="both"/>
        <w:rPr>
          <w:rFonts w:hint="eastAsia" w:ascii="Segoe UI" w:hAnsi="Segoe UI" w:eastAsia="Segoe UI" w:cs="Segoe UI"/>
          <w:color w:val="0F1115"/>
          <w:sz w:val="21"/>
          <w:szCs w:val="21"/>
          <w:shd w:val="clear" w:fill="FFFFFF"/>
          <w:lang w:eastAsia="zh-CN"/>
        </w:rPr>
      </w:pPr>
    </w:p>
    <w:p w14:paraId="10B304F1">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Key Issue 2: Lifecycle Management &amp; Orchestration of AI/ML Models</w:t>
      </w:r>
    </w:p>
    <w:p w14:paraId="0CC1B3B9">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management system should provide real-time monitoring and reporting capabilities for data quality (such as completeness, freshness, and accuracy), and support policy-based handling of data quality anomalies.</w:t>
      </w:r>
    </w:p>
    <w:p w14:paraId="2965575D">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Potential Technical Requirements for KI-2:</w:t>
      </w:r>
    </w:p>
    <w:p w14:paraId="0D8DEF11">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[Tech-Req-KI-2-1] The management system should support standardized AI model package formats (including models, metadata, performance metrics, and deployment descriptors) to ensure the portability and deployability of models between edge and core networks.</w:t>
      </w:r>
    </w:p>
    <w:p w14:paraId="2D5AC64E">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[Tech-Req-KI-2-2] The management system should standardize the collaborative inference interface between NWDAF and edge analysis nodes, encompassing task distribution, intermediate result reporting, and model scheduling instructions, to support a hierarchical inference architecture.</w:t>
      </w:r>
    </w:p>
    <w:p w14:paraId="3489F508">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[Tech-Req-KI-2-3] The management system should support the orchestration and management capabilities of federated learning tasks, including participant selection, execution of secure aggregation protocols, and evaluation and reporting of each participant's contribution.</w:t>
      </w:r>
    </w:p>
    <w:p w14:paraId="36220452">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[Tech-Req-KI-2-4] The management system should support continuous monitoring of the performance of deployed models (such as inference accuracy and latency), and support online updates, rollbacks, or incremental learning of models triggered based on predefined policies.</w:t>
      </w:r>
    </w:p>
    <w:p w14:paraId="5822AA64">
      <w:pPr>
        <w:ind w:firstLine="420" w:firstLineChars="200"/>
        <w:jc w:val="both"/>
        <w:rPr>
          <w:rFonts w:hint="eastAsia" w:ascii="Segoe UI" w:hAnsi="Segoe UI" w:eastAsia="Segoe UI" w:cs="Segoe UI"/>
          <w:color w:val="0F1115"/>
          <w:sz w:val="21"/>
          <w:szCs w:val="21"/>
          <w:shd w:val="clear" w:fill="FFFFFF"/>
          <w:lang w:eastAsia="zh-CN"/>
        </w:rPr>
      </w:pPr>
    </w:p>
    <w:p w14:paraId="2A983591">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Key Issue 3: Modular Service Architecture &amp; Integration</w:t>
      </w:r>
    </w:p>
    <w:p w14:paraId="06C85BAF">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To achieve a flexible and scalable AI-driven optimization system, the management system needs to address the decoupling and interoperability between various functional modules (perception, analysis, orchestration, execution), as well as the integration of data and services with external systems (such as digital twins).</w:t>
      </w:r>
    </w:p>
    <w:p w14:paraId="368B9CC3">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Potential Technical Requirements for KI-3:</w:t>
      </w:r>
    </w:p>
    <w:p w14:paraId="5B6733EF">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[Tech-Req-KI-3-1] The management system should define standardized service interfaces (such as RESTful APIs, message topics) for functions like intelligent probes, edge analysis, NWDAF, orchestrators, etc., based on a service-based architecture (SBA).</w:t>
      </w:r>
    </w:p>
    <w:p w14:paraId="2EE2DAE3">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[Tech-Req-KI-3-2] The management system should provide standard data service interfaces for network topology, resource relationships, business intentions, etc., for AI models to conduct impact analysis and strategy generation.</w:t>
      </w:r>
    </w:p>
    <w:p w14:paraId="4B1820CB">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[Tech-Req-KI-3-3] The management system should standardize the integration interface with the network digital twin platform, support the synchronization of real network data to the digital twin, and receive the simulation analysis and strategy verification results from the digital twin.</w:t>
      </w:r>
    </w:p>
    <w:p w14:paraId="566C886D">
      <w:pPr>
        <w:ind w:firstLine="420" w:firstLineChars="200"/>
        <w:jc w:val="both"/>
        <w:rPr>
          <w:rFonts w:hint="eastAsia" w:ascii="Segoe UI" w:hAnsi="Segoe UI" w:eastAsia="Segoe UI" w:cs="Segoe UI"/>
          <w:color w:val="0F1115"/>
          <w:sz w:val="21"/>
          <w:szCs w:val="21"/>
          <w:shd w:val="clear" w:fill="FFFFFF"/>
          <w:lang w:eastAsia="zh-CN"/>
        </w:rPr>
      </w:pPr>
    </w:p>
    <w:p w14:paraId="54BA7725">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Key Issue 4: Secure, Trustworthy Closed-loop Automation</w:t>
      </w:r>
    </w:p>
    <w:p w14:paraId="471537E6">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To ensure the safety, reliability, and sustainable improvement of AI-optimized decisions, the management system needs to address issues related to security protection, decision interpretability, and closed-loop self-optimization based on effect feedback across the entire chain from data input, model inference, to configuration execution.</w:t>
      </w:r>
    </w:p>
    <w:p w14:paraId="70CC7AA7">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Potential Technical Requirements for KI-4:</w:t>
      </w:r>
    </w:p>
    <w:p w14:paraId="5E9777F8">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[Tech-Req-KI-4-1] The management system should implement security protection for all aspects of the AI pipeline, including data transmission encryption, model integrity verification, protection against adversarial attacks, as well as strong authentication and authorization for automated execution of instructions (such as those issued through NETCONF/YANG).</w:t>
      </w:r>
    </w:p>
    <w:p w14:paraId="4FC632B7">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[Tech-Req-KI-4-2] The management system should require AI analysis functions (such as NWDAF) to provide interpretable outputs in a standard format, specifying the key decision-making basis (such as the most influential KPIs and the thresholds that trigger adjustments).</w:t>
      </w:r>
    </w:p>
    <w:p w14:paraId="68FC6F69">
      <w:pPr>
        <w:ind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[Tech-Req-KI-4-3] The management system should support a "execution-monitoring-validation" closed loop, capable of collecting network performance data (such as new KPI values) after optimization actions, comparing it with expected goals, automatically generating effect evaluation reports, and triggering the model retraining process.</w:t>
      </w:r>
    </w:p>
    <w:p w14:paraId="31840F9B">
      <w:pPr>
        <w:ind w:firstLine="420" w:firstLineChars="200"/>
        <w:jc w:val="both"/>
        <w:rPr>
          <w:rFonts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[Tech-Req-KI-4-4] The management system should support the definition and measurement of new KPIs (such as optimization goal achievement, strategy convergence time, percentage improvement in resource efficiency, and business experience consistency) for evaluating the effectiveness of AI optimization.</w:t>
      </w:r>
    </w:p>
    <w:p w14:paraId="2D2A60E8">
      <w:pPr>
        <w:rPr>
          <w:lang w:eastAsia="zh-CN"/>
        </w:rPr>
      </w:pPr>
    </w:p>
    <w:p w14:paraId="5F923BE5">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default"/>
          <w:sz w:val="28"/>
          <w:lang w:val="en-US" w:eastAsia="zh-CN"/>
        </w:rPr>
        <w:t>3</w:t>
      </w:r>
      <w:r>
        <w:rPr>
          <w:sz w:val="28"/>
          <w:lang w:eastAsia="zh-CN"/>
        </w:rPr>
        <w:t xml:space="preserve"> Management Scenario #&lt;</w:t>
      </w:r>
      <w:r>
        <w:rPr>
          <w:rFonts w:hint="default"/>
          <w:sz w:val="28"/>
          <w:lang w:val="en-US" w:eastAsia="zh-CN"/>
        </w:rPr>
        <w:t>3</w:t>
      </w:r>
      <w:r>
        <w:rPr>
          <w:sz w:val="28"/>
          <w:lang w:eastAsia="zh-CN"/>
        </w:rPr>
        <w:t>&gt;: &lt;</w:t>
      </w:r>
      <w:r>
        <w:rPr>
          <w:rFonts w:hint="default"/>
          <w:sz w:val="28"/>
          <w:lang w:eastAsia="zh-CN"/>
        </w:rPr>
        <w:t>Intelligent Network Planning</w:t>
      </w:r>
      <w:r>
        <w:rPr>
          <w:sz w:val="28"/>
          <w:lang w:eastAsia="zh-CN"/>
        </w:rPr>
        <w:t>&gt;</w:t>
      </w:r>
    </w:p>
    <w:p w14:paraId="2AA5F34A">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3</w:t>
      </w:r>
      <w:r>
        <w:rPr>
          <w:sz w:val="28"/>
          <w:lang w:eastAsia="zh-CN"/>
        </w:rPr>
        <w:t>.1 Description</w:t>
      </w:r>
    </w:p>
    <w:p w14:paraId="7066B31C">
      <w:pPr>
        <w:numPr>
          <w:ilvl w:val="0"/>
          <w:numId w:val="0"/>
        </w:numPr>
        <w:spacing w:after="0"/>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The intelligent network planning scenario serves as a core strategic enabling scenario for achieving the goals of "on-demand deployment," "global optimization," and "active evolution" in 6G networks. It aims to evolve from the traditional periodic planning mode based on empirical models, static rules, and offline simulations to a closed-loop autonomous paradigm featuring "continuous prediction, dynamic optimization, and active deployment," based on massive multi-source data fusion, generative AI, and multi-objective collaborative decision-making. This scenario relies on the deep aggregation and analysis of data from the integrated air-space-ground environment (geographic information systems, 3D building models, existing facility layouts), spectrum and radio environment (historical and real-time interference maps, propagation characteristics), socio-economic and business intention data (long-term population flow forecasts, vertical industry business demand blueprints, network slicing SLA foresight), full-dimensional operational data of the existing network (historical performance, resource utilization trends, failure root causes), and cost and sustainability models (equipment energy consumption, full-cycle costs of deployment and operation and maintenance). Based on this, cutting-edge artificial intelligence and machine learning models (such as generative adversarial networks for automatic generation of network topology and site selection, spatio-temporal graph neural networks for business and traffic prediction, multi-objective Bayesian optimization for searching Pareto-optimal solutions, and causal inference for planning decision attribution) are employed to simulate and optimize the initial deployment, expansion and upgrade, spectrum allocation, and strategic layout of slicing resources for network infrastructure across multiple scales and objectives, achieving comprehensive optimization of performance, efficiency, resilience, and cost throughout the network's lifecycle from blueprint to implementation.</w:t>
      </w:r>
    </w:p>
    <w:p w14:paraId="7D6D65B5">
      <w:pPr>
        <w:numPr>
          <w:ilvl w:val="0"/>
          <w:numId w:val="0"/>
        </w:numPr>
        <w:spacing w:after="0"/>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For instance, in the initial planning of networks aimed at business intentions and full-domain coverage, we conduct forward-looking and integrated collaborative design for the coordinated layout of 6G network ground macro and micro base stations, aerial platforms (drones, HAPS), and satellite nodes, as well as the network slicing resource framework reserved for future immersive communication, large-scale perception, and ultra-reliable connectivity services. The business process is as follows:</w:t>
      </w:r>
    </w:p>
    <w:p w14:paraId="62FDDF6C">
      <w:pPr>
        <w:numPr>
          <w:ilvl w:val="0"/>
          <w:numId w:val="0"/>
        </w:numPr>
        <w:spacing w:after="0"/>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 xml:space="preserve">     1. The multi-source data aggregation platform continuously collects and integrates data required for planning, including high-precision geographic and environmental data (topography, landform, building vectors, existing site information), regulatory and spectrum data (available frequency bands, regulatory restrictions, sharing rules), macro business forecasts (regional development plans, potential industry user distribution, future business types and traffic density forecasts), and existing network evolution data (existing network performance bottlenecks, user mobility patterns).</w:t>
      </w:r>
    </w:p>
    <w:p w14:paraId="1C39E2FA">
      <w:pPr>
        <w:numPr>
          <w:ilvl w:val="0"/>
          <w:numId w:val="0"/>
        </w:numPr>
        <w:spacing w:after="0"/>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 xml:space="preserve">     2. The network modeling and simulation engine is based on aggregated data, constructing a programmable simulation environment that includes wireless propagation (complex environmental channel modeling based on AI), service distribution, device behavior, and interference models. This engine supports rapid and parallel "what-if analysis" and performance deduction for countless candidate planning schemes, evaluating key indicators such as coverage, capacity, latency, and cost.</w:t>
      </w:r>
    </w:p>
    <w:p w14:paraId="3C5CE2F5">
      <w:pPr>
        <w:numPr>
          <w:ilvl w:val="0"/>
          <w:numId w:val="0"/>
        </w:numPr>
        <w:spacing w:after="0"/>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 xml:space="preserve">     3. The intelligent planning and decision-making engine invokes a pre-trained generative AI model to automatically generate multiple feasible network architecture and resource allocation drafts based on the input planning objectives and constraints (such as target coverage, capacity per square kilometer, maximum end-to-end delay, and total budget cap). These drafts include site locations, antenna parameters, backhaul topology, and initial slice resource quotas. Simultaneously, a reinforcement learning model is employed to simulate the network's adaptive capabilities under long-term business growth, assessing the robustness and evolutionary potential of the proposed solutions.</w:t>
      </w:r>
    </w:p>
    <w:p w14:paraId="597BFCEC">
      <w:pPr>
        <w:numPr>
          <w:ilvl w:val="0"/>
          <w:numId w:val="0"/>
        </w:numPr>
        <w:spacing w:after="0"/>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 xml:space="preserve">     4. The multi-objective optimization and decision analysis module conducts multidimensional evaluation of the generated drafts, utilizing optimization algorithms to identify a set of Pareto optimal solutions that achieve the best balance across performance, cost, energy consumption, and other objectives. Planners can interactively adjust the target weights, and the engine provides real-time visual analysis and causal explanations, for example, explicitly indicating that the capacity improvement in a certain area is primarily attributed to the addition of micro-stations rather than satellite links.</w:t>
      </w:r>
    </w:p>
    <w:p w14:paraId="5C66F421">
      <w:pPr>
        <w:numPr>
          <w:ilvl w:val="0"/>
          <w:numId w:val="0"/>
        </w:numPr>
        <w:spacing w:after="0"/>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 xml:space="preserve">      5. The scheme decomposition and deployment orchestration module automatically decomposes the finalized global planning scheme into executable phased deployment blueprints and work orders, including detailed site engineering parameters, equipment configuration templates, spectrum application files, and slice instantiation templates. These are then issued to the supply chain management, network construction, and automated configuration systems through standardized interfaces.</w:t>
      </w:r>
    </w:p>
    <w:p w14:paraId="5470455A">
      <w:pPr>
        <w:keepNext w:val="0"/>
        <w:keepLines w:val="0"/>
        <w:widowControl/>
        <w:numPr>
          <w:ilvl w:val="0"/>
          <w:numId w:val="0"/>
        </w:numPr>
        <w:suppressLineNumbers w:val="0"/>
        <w:spacing w:before="160" w:beforeAutospacing="0" w:after="0" w:afterAutospacing="0"/>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 xml:space="preserve">      6.After the deployment of the planning scheme, the closed-loop verification and continuous evolution module continuously monitors the actual network operation data and compares it with the output of the prediction model from the planning stage. The generated deviation data will be fed back to the AI planning model and simulation engine for iterative optimization of prediction accuracy and planning strategies. At the same time, based on the actual network load and the introduction of new technologies, the rolling planning process is triggered regularly to achieve continuous and intelligent evolution of network infrastructure.</w:t>
      </w:r>
    </w:p>
    <w:p w14:paraId="6DC029A7">
      <w:pPr>
        <w:jc w:val="both"/>
        <w:rPr>
          <w:lang w:eastAsia="zh-CN"/>
        </w:rPr>
      </w:pPr>
    </w:p>
    <w:p w14:paraId="54CB32B7">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3</w:t>
      </w:r>
      <w:r>
        <w:rPr>
          <w:sz w:val="28"/>
          <w:lang w:eastAsia="zh-CN"/>
        </w:rPr>
        <w:t xml:space="preserve">.2 </w:t>
      </w:r>
      <w:r>
        <w:rPr>
          <w:rFonts w:hint="eastAsia"/>
          <w:sz w:val="28"/>
          <w:lang w:eastAsia="zh-CN"/>
        </w:rPr>
        <w:t>Potential  Requirements</w:t>
      </w:r>
    </w:p>
    <w:p w14:paraId="541681AC">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398B554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[Sample-Biz-Req-1] The 3GPP management system should support unified modeling, aggregation, and quality management of multi-source planning data, including geography, spectrum, and services, to provide a reliable data foundation for intelligent planning.</w:t>
      </w:r>
    </w:p>
    <w:p w14:paraId="3E80C67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[Sample-Biz-Req-2] The 3GPP management system should support automated and parallelized performance deduction and "what-if analysis" verification of candidate planning schemes based on digital twins or simulation environments.</w:t>
      </w:r>
    </w:p>
    <w:p w14:paraId="0791724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[Sample-Biz-Req-3] The 3GPP management system should support Pareto optimization analysis for multiple objectives such as performance, cost, and energy consumption of planning schemes, and provide auxiliary support such as causal explanations for decision-making.</w:t>
      </w:r>
    </w:p>
    <w:p w14:paraId="461805A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[Sample-Biz-Req-4] The 3GPP management system should support automatic comparison between post-deployment monitoring data and planning predictions, and utilize deviation data to drive continuous iterative optimization of planning models and strategies.</w:t>
      </w:r>
    </w:p>
    <w:p w14:paraId="3AC3F825">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43B99503">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5C7504E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Unified Data Fabric for Multi-source Planning</w:t>
      </w:r>
    </w:p>
    <w:p w14:paraId="769A1C2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support data-driven intelligent planning, the management system needs to address the issues of standardized description, trusted aggregation, and consistency of massive heterogeneous and multi-source data, including geography, spectrum, business intentions, and current network operations, in order to form a high-quality planning data foundation.</w:t>
      </w:r>
    </w:p>
    <w:p w14:paraId="7C10E78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7B0CEBA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support the definition and maintenance of a unified planning data model (such as an extended YANG model), capable of standardizing the description of semantics, formats, and association relationships of multi-source data such as geographic information, spectrum availability, business forecast blueprints, cost models, etc.</w:t>
      </w:r>
    </w:p>
    <w:p w14:paraId="72B3FB6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provide standardized data access and aggregation service interfaces, enabling the secure acquisition of planning-required data from external systems (such as GIS platforms, spectrum databases, and business support systems) as needed.</w:t>
      </w:r>
    </w:p>
    <w:p w14:paraId="69342D0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implement quality management for aggregated planning data, including data integrity, freshness, and consistency verification, and be able to report data quality levels to consumers (such as simulation engines).</w:t>
      </w:r>
    </w:p>
    <w:p w14:paraId="7664799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2D41BFD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Programmable Simulation &amp; “What-if” Analysis for Planning</w:t>
      </w:r>
    </w:p>
    <w:p w14:paraId="7A62BA1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rapid evaluation and optimization of a vast number of candidate solutions, the management system needs to address how to construct and manage a programmable, high-fidelity digital twin or simulation environment for networks, and support automated and parallelized "what-if analysis" capabilities.</w:t>
      </w:r>
    </w:p>
    <w:p w14:paraId="7BC4FA0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7CEA033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provide standardized interfaces that allow the planning engine to dynamically create, configure, and manage simulation scenarios, injecting different planning schemes (such as site layouts, parameter sets) as inputs.</w:t>
      </w:r>
    </w:p>
    <w:p w14:paraId="5C9B281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support the parallel initiation and management of multiple simulation instances to simultaneously evaluate multiple candidate planning schemes and collect results for key performance indicators (KPIs) such as coverage, capacity, latency, and cost.</w:t>
      </w:r>
    </w:p>
    <w:p w14:paraId="2741809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standardize the standardized output format and reporting interface of simulation results, ensure the comparability of KPIs across different schemes, and support the visual presentation of simulation results.</w:t>
      </w:r>
    </w:p>
    <w:p w14:paraId="655BC62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0EB7A03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Multi-objective Optimization &amp; Explainable Decision Support</w:t>
      </w:r>
    </w:p>
    <w:p w14:paraId="67FC04B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generate a comprehensive and optimal planning scheme and provide credible decision-making basis, the management system needs to address how to integrate AI/ML models for multi-objective optimization search, and provide interactive and interpretable decision-making assistance information for the optimization results.</w:t>
      </w:r>
    </w:p>
    <w:p w14:paraId="587ECB2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7E5F725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provide a standardized interface for the intelligent planning engine (or integrated AI model) to input planning objectives (such as maximizing coverage, minimizing total cost) and constraints, and receive a set of Pareto optimal candidate solutions generated by the model.</w:t>
      </w:r>
    </w:p>
    <w:p w14:paraId="5BD49A2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provide a standardized interface for the intelligent planning engine (or integrated AI model) to input planning objectives (such as maximizing coverage, minimizing total cost) and constraints, and receive a set of Pareto optimal candidate solutions generated by the model.</w:t>
      </w:r>
    </w:p>
    <w:p w14:paraId="160F77F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require the planning engine or AI model to provide a "causal explanation" output in a standard format for the solutions it recommends, such as specifying key decision factors (e.g., the economic reasons for choosing satellite coverage over ground stations in specific areas) and their contribution degrees.</w:t>
      </w:r>
    </w:p>
    <w:p w14:paraId="6C29525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405DE6A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Closed-loop Evolution of Planning Models &amp; Strategies</w:t>
      </w:r>
    </w:p>
    <w:p w14:paraId="6DEEC3A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continuous self-optimization of planning, the management system needs to address how to automatically compare the actual operational data after network deployment with planning predictions, and effectively feed the deviations back to the AI model and simulation parameters, driving their iterative evolution.</w:t>
      </w:r>
    </w:p>
    <w:p w14:paraId="5975486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051B2FA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support the automatic collection of actual operational data (such as measured coverage and business traffic) after network deployment, and perform spatiotemporal alignment and comparative analysis with the predicted data from the corresponding planning stage.</w:t>
      </w:r>
    </w:p>
    <w:p w14:paraId="4DB3C45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be able to automatically trigger an alert based on preset deviation thresholds (such as an error of more than 20% between predicted and actual traffic), and initiate the retraining/calibration process for the relevant AI prediction model or simulated channel model.</w:t>
      </w:r>
    </w:p>
    <w:p w14:paraId="7BBA2C8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support version management for planning strategies and models, record each iterative update based on actual data feedback, and automatically trigger a new round of rolling planning process according to changes in network status (such as new business launches) or regular plans.</w:t>
      </w:r>
    </w:p>
    <w:p w14:paraId="16C8F6B4">
      <w:pPr>
        <w:rPr>
          <w:lang w:eastAsia="zh-CN"/>
        </w:rPr>
      </w:pPr>
    </w:p>
    <w:p w14:paraId="09575E75">
      <w:pPr>
        <w:pStyle w:val="76"/>
        <w:rPr>
          <w:lang w:eastAsia="zh-CN"/>
        </w:rPr>
      </w:pPr>
    </w:p>
    <w:p w14:paraId="15F76069"/>
    <w:p w14:paraId="4E3A6C0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EC76C">
      <w:pPr>
        <w:pStyle w:val="11"/>
      </w:pPr>
      <w:bookmarkStart w:id="0" w:name="_Toc204948731"/>
      <w:bookmarkStart w:id="1" w:name="_Toc215665857"/>
      <w:bookmarkStart w:id="2" w:name="_Toc206752147"/>
      <w:bookmarkStart w:id="3" w:name="_Toc214989633"/>
      <w:bookmarkStart w:id="4" w:name="_Toc204948604"/>
      <w:bookmarkStart w:id="5" w:name="_Toc214981708"/>
      <w:bookmarkStart w:id="6" w:name="_Toc215056210"/>
      <w:r>
        <w:t>Annex A:</w:t>
      </w:r>
      <w:r>
        <w:br w:type="textWrapping"/>
      </w:r>
      <w:bookmarkEnd w:id="0"/>
      <w:bookmarkEnd w:id="1"/>
      <w:bookmarkEnd w:id="2"/>
      <w:bookmarkEnd w:id="3"/>
      <w:bookmarkEnd w:id="4"/>
      <w:bookmarkEnd w:id="5"/>
      <w:bookmarkEnd w:id="6"/>
      <w:r>
        <w:t>Management Scenarios, Key Issues, and Solutions Mapping</w:t>
      </w:r>
    </w:p>
    <w:p w14:paraId="13453847">
      <w:pPr>
        <w:pStyle w:val="2"/>
      </w:pPr>
      <w:bookmarkStart w:id="7" w:name="_Toc215056212"/>
      <w:bookmarkStart w:id="8" w:name="_Toc215665859"/>
      <w:bookmarkStart w:id="9" w:name="_Toc214989635"/>
      <w:bookmarkStart w:id="10" w:name="_Toc214981710"/>
      <w:r>
        <w:t>A.1</w:t>
      </w:r>
      <w:r>
        <w:tab/>
      </w:r>
      <w:r>
        <w:t>Mapping between Management Scenarios and Key Issues</w:t>
      </w:r>
      <w:bookmarkEnd w:id="7"/>
      <w:bookmarkEnd w:id="8"/>
      <w:bookmarkEnd w:id="9"/>
      <w:bookmarkEnd w:id="10"/>
    </w:p>
    <w:p w14:paraId="618CBE8D">
      <w:pPr>
        <w:pStyle w:val="58"/>
      </w:pPr>
      <w:r>
        <w:t>Table A.2-1: Mapping of Key Issues to Management Scenarios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67"/>
        <w:gridCol w:w="351"/>
        <w:gridCol w:w="542"/>
        <w:gridCol w:w="544"/>
        <w:gridCol w:w="544"/>
        <w:gridCol w:w="544"/>
        <w:gridCol w:w="544"/>
        <w:gridCol w:w="544"/>
        <w:gridCol w:w="544"/>
        <w:gridCol w:w="615"/>
        <w:gridCol w:w="615"/>
        <w:gridCol w:w="615"/>
        <w:gridCol w:w="615"/>
        <w:gridCol w:w="615"/>
      </w:tblGrid>
      <w:tr w14:paraId="7989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96" w:type="dxa"/>
            <w:vMerge w:val="restart"/>
          </w:tcPr>
          <w:p w14:paraId="6F77215A">
            <w:pPr>
              <w:pStyle w:val="54"/>
              <w:rPr>
                <w:sz w:val="16"/>
                <w:szCs w:val="16"/>
              </w:rPr>
            </w:pPr>
            <w:r>
              <w:rPr>
                <w:sz w:val="16"/>
                <w:szCs w:val="16"/>
              </w:rPr>
              <w:t>Key Issues</w:t>
            </w:r>
          </w:p>
        </w:tc>
        <w:tc>
          <w:tcPr>
            <w:tcW w:w="7799" w:type="dxa"/>
            <w:gridSpan w:val="14"/>
          </w:tcPr>
          <w:p w14:paraId="48477CBF">
            <w:pPr>
              <w:pStyle w:val="54"/>
              <w:rPr>
                <w:szCs w:val="18"/>
              </w:rPr>
            </w:pPr>
            <w:r>
              <w:rPr>
                <w:sz w:val="16"/>
                <w:szCs w:val="16"/>
              </w:rPr>
              <w:t>Management Scenarios</w:t>
            </w:r>
          </w:p>
        </w:tc>
      </w:tr>
      <w:tr w14:paraId="61F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696" w:type="dxa"/>
            <w:vMerge w:val="continue"/>
          </w:tcPr>
          <w:p w14:paraId="2A02A82D">
            <w:pPr>
              <w:pStyle w:val="54"/>
              <w:rPr>
                <w:sz w:val="16"/>
                <w:szCs w:val="16"/>
              </w:rPr>
            </w:pPr>
          </w:p>
        </w:tc>
        <w:tc>
          <w:tcPr>
            <w:tcW w:w="567" w:type="dxa"/>
          </w:tcPr>
          <w:p w14:paraId="42FA9EB0">
            <w:pPr>
              <w:pStyle w:val="54"/>
              <w:rPr>
                <w:sz w:val="14"/>
                <w:szCs w:val="16"/>
              </w:rPr>
            </w:pPr>
            <w:r>
              <w:rPr>
                <w:sz w:val="14"/>
                <w:szCs w:val="16"/>
              </w:rPr>
              <w:t>1</w:t>
            </w:r>
          </w:p>
        </w:tc>
        <w:tc>
          <w:tcPr>
            <w:tcW w:w="351" w:type="dxa"/>
          </w:tcPr>
          <w:p w14:paraId="23A6A5B3">
            <w:pPr>
              <w:pStyle w:val="54"/>
              <w:rPr>
                <w:sz w:val="14"/>
                <w:szCs w:val="16"/>
              </w:rPr>
            </w:pPr>
            <w:r>
              <w:rPr>
                <w:sz w:val="14"/>
                <w:szCs w:val="16"/>
              </w:rPr>
              <w:t>2</w:t>
            </w:r>
          </w:p>
        </w:tc>
        <w:tc>
          <w:tcPr>
            <w:tcW w:w="542" w:type="dxa"/>
          </w:tcPr>
          <w:p w14:paraId="4B2F7CBF">
            <w:pPr>
              <w:pStyle w:val="54"/>
              <w:rPr>
                <w:sz w:val="14"/>
                <w:szCs w:val="16"/>
              </w:rPr>
            </w:pPr>
            <w:r>
              <w:rPr>
                <w:sz w:val="14"/>
                <w:szCs w:val="16"/>
              </w:rPr>
              <w:t>3</w:t>
            </w:r>
          </w:p>
        </w:tc>
        <w:tc>
          <w:tcPr>
            <w:tcW w:w="544" w:type="dxa"/>
          </w:tcPr>
          <w:p w14:paraId="77D1987B">
            <w:pPr>
              <w:pStyle w:val="54"/>
              <w:rPr>
                <w:sz w:val="14"/>
                <w:szCs w:val="16"/>
              </w:rPr>
            </w:pPr>
            <w:r>
              <w:rPr>
                <w:sz w:val="14"/>
                <w:szCs w:val="16"/>
              </w:rPr>
              <w:t>4</w:t>
            </w:r>
          </w:p>
        </w:tc>
        <w:tc>
          <w:tcPr>
            <w:tcW w:w="544" w:type="dxa"/>
          </w:tcPr>
          <w:p w14:paraId="3ED39281">
            <w:pPr>
              <w:pStyle w:val="54"/>
              <w:rPr>
                <w:sz w:val="14"/>
                <w:szCs w:val="16"/>
              </w:rPr>
            </w:pPr>
            <w:r>
              <w:rPr>
                <w:sz w:val="14"/>
                <w:szCs w:val="16"/>
              </w:rPr>
              <w:t>5</w:t>
            </w:r>
          </w:p>
        </w:tc>
        <w:tc>
          <w:tcPr>
            <w:tcW w:w="544" w:type="dxa"/>
          </w:tcPr>
          <w:p w14:paraId="55A84763">
            <w:pPr>
              <w:pStyle w:val="54"/>
              <w:rPr>
                <w:sz w:val="14"/>
                <w:szCs w:val="16"/>
              </w:rPr>
            </w:pPr>
            <w:r>
              <w:rPr>
                <w:sz w:val="14"/>
                <w:szCs w:val="16"/>
              </w:rPr>
              <w:t>6</w:t>
            </w:r>
          </w:p>
        </w:tc>
        <w:tc>
          <w:tcPr>
            <w:tcW w:w="544" w:type="dxa"/>
          </w:tcPr>
          <w:p w14:paraId="33C789B7">
            <w:pPr>
              <w:pStyle w:val="54"/>
              <w:rPr>
                <w:sz w:val="14"/>
                <w:szCs w:val="16"/>
              </w:rPr>
            </w:pPr>
            <w:r>
              <w:rPr>
                <w:sz w:val="14"/>
                <w:szCs w:val="16"/>
              </w:rPr>
              <w:t>7</w:t>
            </w:r>
          </w:p>
        </w:tc>
        <w:tc>
          <w:tcPr>
            <w:tcW w:w="544" w:type="dxa"/>
          </w:tcPr>
          <w:p w14:paraId="08FB08C7">
            <w:pPr>
              <w:pStyle w:val="54"/>
              <w:rPr>
                <w:sz w:val="14"/>
                <w:szCs w:val="16"/>
              </w:rPr>
            </w:pPr>
            <w:r>
              <w:rPr>
                <w:sz w:val="14"/>
                <w:szCs w:val="16"/>
              </w:rPr>
              <w:t>8</w:t>
            </w:r>
          </w:p>
        </w:tc>
        <w:tc>
          <w:tcPr>
            <w:tcW w:w="544" w:type="dxa"/>
          </w:tcPr>
          <w:p w14:paraId="218C5EDC">
            <w:pPr>
              <w:pStyle w:val="54"/>
              <w:rPr>
                <w:sz w:val="14"/>
                <w:szCs w:val="16"/>
              </w:rPr>
            </w:pPr>
            <w:r>
              <w:rPr>
                <w:sz w:val="14"/>
                <w:szCs w:val="16"/>
              </w:rPr>
              <w:t>9</w:t>
            </w:r>
          </w:p>
        </w:tc>
        <w:tc>
          <w:tcPr>
            <w:tcW w:w="615" w:type="dxa"/>
          </w:tcPr>
          <w:p w14:paraId="211FE9FA">
            <w:pPr>
              <w:pStyle w:val="54"/>
              <w:rPr>
                <w:sz w:val="14"/>
                <w:szCs w:val="16"/>
              </w:rPr>
            </w:pPr>
            <w:r>
              <w:rPr>
                <w:sz w:val="14"/>
                <w:szCs w:val="16"/>
              </w:rPr>
              <w:t>10</w:t>
            </w:r>
          </w:p>
        </w:tc>
        <w:tc>
          <w:tcPr>
            <w:tcW w:w="615" w:type="dxa"/>
          </w:tcPr>
          <w:p w14:paraId="605FDD4E">
            <w:pPr>
              <w:pStyle w:val="54"/>
              <w:rPr>
                <w:sz w:val="14"/>
                <w:szCs w:val="16"/>
              </w:rPr>
            </w:pPr>
            <w:r>
              <w:rPr>
                <w:sz w:val="14"/>
                <w:szCs w:val="16"/>
              </w:rPr>
              <w:t>11</w:t>
            </w:r>
          </w:p>
        </w:tc>
        <w:tc>
          <w:tcPr>
            <w:tcW w:w="615" w:type="dxa"/>
          </w:tcPr>
          <w:p w14:paraId="58B9F019">
            <w:pPr>
              <w:pStyle w:val="54"/>
              <w:rPr>
                <w:sz w:val="14"/>
                <w:szCs w:val="16"/>
              </w:rPr>
            </w:pPr>
            <w:r>
              <w:rPr>
                <w:sz w:val="14"/>
                <w:szCs w:val="16"/>
              </w:rPr>
              <w:t>12</w:t>
            </w:r>
          </w:p>
        </w:tc>
        <w:tc>
          <w:tcPr>
            <w:tcW w:w="615" w:type="dxa"/>
          </w:tcPr>
          <w:p w14:paraId="703CC519">
            <w:pPr>
              <w:pStyle w:val="54"/>
              <w:rPr>
                <w:sz w:val="14"/>
                <w:szCs w:val="16"/>
              </w:rPr>
            </w:pPr>
            <w:r>
              <w:rPr>
                <w:sz w:val="14"/>
                <w:szCs w:val="16"/>
              </w:rPr>
              <w:t>13</w:t>
            </w:r>
          </w:p>
        </w:tc>
        <w:tc>
          <w:tcPr>
            <w:tcW w:w="615" w:type="dxa"/>
          </w:tcPr>
          <w:p w14:paraId="66623E00">
            <w:pPr>
              <w:pStyle w:val="54"/>
              <w:rPr>
                <w:sz w:val="14"/>
                <w:szCs w:val="16"/>
              </w:rPr>
            </w:pPr>
            <w:r>
              <w:rPr>
                <w:sz w:val="14"/>
                <w:szCs w:val="16"/>
              </w:rPr>
              <w:t>14</w:t>
            </w:r>
          </w:p>
        </w:tc>
      </w:tr>
      <w:tr w14:paraId="6586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696" w:type="dxa"/>
          </w:tcPr>
          <w:p w14:paraId="06A86DBE">
            <w:pPr>
              <w:pStyle w:val="54"/>
              <w:rPr>
                <w:sz w:val="14"/>
                <w:szCs w:val="14"/>
              </w:rPr>
            </w:pPr>
            <w:r>
              <w:rPr>
                <w:sz w:val="14"/>
                <w:szCs w:val="14"/>
              </w:rPr>
              <w:t>#1</w:t>
            </w:r>
          </w:p>
        </w:tc>
        <w:tc>
          <w:tcPr>
            <w:tcW w:w="567" w:type="dxa"/>
          </w:tcPr>
          <w:p w14:paraId="0686CD72">
            <w:pPr>
              <w:pStyle w:val="55"/>
              <w:rPr>
                <w:sz w:val="14"/>
                <w:szCs w:val="14"/>
              </w:rPr>
            </w:pPr>
          </w:p>
        </w:tc>
        <w:tc>
          <w:tcPr>
            <w:tcW w:w="351" w:type="dxa"/>
          </w:tcPr>
          <w:p w14:paraId="7C844376">
            <w:pPr>
              <w:pStyle w:val="55"/>
              <w:rPr>
                <w:sz w:val="14"/>
                <w:szCs w:val="14"/>
              </w:rPr>
            </w:pPr>
          </w:p>
        </w:tc>
        <w:tc>
          <w:tcPr>
            <w:tcW w:w="542" w:type="dxa"/>
          </w:tcPr>
          <w:p w14:paraId="791CF6C8">
            <w:pPr>
              <w:pStyle w:val="55"/>
              <w:rPr>
                <w:sz w:val="14"/>
                <w:szCs w:val="14"/>
              </w:rPr>
            </w:pPr>
          </w:p>
        </w:tc>
        <w:tc>
          <w:tcPr>
            <w:tcW w:w="544" w:type="dxa"/>
          </w:tcPr>
          <w:p w14:paraId="67344CAB">
            <w:pPr>
              <w:pStyle w:val="55"/>
              <w:rPr>
                <w:sz w:val="14"/>
                <w:szCs w:val="14"/>
              </w:rPr>
            </w:pPr>
          </w:p>
        </w:tc>
        <w:tc>
          <w:tcPr>
            <w:tcW w:w="544" w:type="dxa"/>
          </w:tcPr>
          <w:p w14:paraId="5C6E1941">
            <w:pPr>
              <w:pStyle w:val="55"/>
              <w:rPr>
                <w:sz w:val="14"/>
                <w:szCs w:val="14"/>
              </w:rPr>
            </w:pPr>
          </w:p>
        </w:tc>
        <w:tc>
          <w:tcPr>
            <w:tcW w:w="544" w:type="dxa"/>
          </w:tcPr>
          <w:p w14:paraId="06CBCA5A">
            <w:pPr>
              <w:pStyle w:val="55"/>
              <w:rPr>
                <w:sz w:val="14"/>
                <w:szCs w:val="14"/>
              </w:rPr>
            </w:pPr>
          </w:p>
        </w:tc>
        <w:tc>
          <w:tcPr>
            <w:tcW w:w="544" w:type="dxa"/>
          </w:tcPr>
          <w:p w14:paraId="531E9C36">
            <w:pPr>
              <w:pStyle w:val="55"/>
              <w:rPr>
                <w:sz w:val="14"/>
                <w:szCs w:val="14"/>
              </w:rPr>
            </w:pPr>
          </w:p>
        </w:tc>
        <w:tc>
          <w:tcPr>
            <w:tcW w:w="544" w:type="dxa"/>
          </w:tcPr>
          <w:p w14:paraId="585BA253">
            <w:pPr>
              <w:pStyle w:val="55"/>
              <w:rPr>
                <w:sz w:val="14"/>
                <w:szCs w:val="14"/>
              </w:rPr>
            </w:pPr>
          </w:p>
        </w:tc>
        <w:tc>
          <w:tcPr>
            <w:tcW w:w="544" w:type="dxa"/>
          </w:tcPr>
          <w:p w14:paraId="4E6F3AC5">
            <w:pPr>
              <w:pStyle w:val="55"/>
              <w:rPr>
                <w:sz w:val="14"/>
                <w:szCs w:val="14"/>
              </w:rPr>
            </w:pPr>
          </w:p>
        </w:tc>
        <w:tc>
          <w:tcPr>
            <w:tcW w:w="615" w:type="dxa"/>
          </w:tcPr>
          <w:p w14:paraId="1C2E71A2">
            <w:pPr>
              <w:pStyle w:val="55"/>
              <w:rPr>
                <w:sz w:val="14"/>
                <w:szCs w:val="14"/>
              </w:rPr>
            </w:pPr>
          </w:p>
        </w:tc>
        <w:tc>
          <w:tcPr>
            <w:tcW w:w="615" w:type="dxa"/>
          </w:tcPr>
          <w:p w14:paraId="3CCA1411">
            <w:pPr>
              <w:pStyle w:val="55"/>
              <w:rPr>
                <w:sz w:val="14"/>
                <w:szCs w:val="14"/>
              </w:rPr>
            </w:pPr>
          </w:p>
        </w:tc>
        <w:tc>
          <w:tcPr>
            <w:tcW w:w="615" w:type="dxa"/>
          </w:tcPr>
          <w:p w14:paraId="2F709D34">
            <w:pPr>
              <w:pStyle w:val="55"/>
              <w:rPr>
                <w:sz w:val="14"/>
                <w:szCs w:val="14"/>
              </w:rPr>
            </w:pPr>
          </w:p>
        </w:tc>
        <w:tc>
          <w:tcPr>
            <w:tcW w:w="615" w:type="dxa"/>
          </w:tcPr>
          <w:p w14:paraId="0E4BA33E">
            <w:pPr>
              <w:pStyle w:val="55"/>
              <w:rPr>
                <w:sz w:val="14"/>
                <w:szCs w:val="14"/>
              </w:rPr>
            </w:pPr>
          </w:p>
        </w:tc>
        <w:tc>
          <w:tcPr>
            <w:tcW w:w="615" w:type="dxa"/>
          </w:tcPr>
          <w:p w14:paraId="06C242B7">
            <w:pPr>
              <w:pStyle w:val="55"/>
              <w:rPr>
                <w:sz w:val="14"/>
                <w:szCs w:val="14"/>
              </w:rPr>
            </w:pPr>
          </w:p>
        </w:tc>
      </w:tr>
      <w:tr w14:paraId="2F9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96" w:type="dxa"/>
          </w:tcPr>
          <w:p w14:paraId="64C6DBDD">
            <w:pPr>
              <w:pStyle w:val="54"/>
              <w:rPr>
                <w:sz w:val="14"/>
                <w:szCs w:val="14"/>
              </w:rPr>
            </w:pPr>
            <w:r>
              <w:rPr>
                <w:sz w:val="14"/>
                <w:szCs w:val="14"/>
              </w:rPr>
              <w:t xml:space="preserve">#2 </w:t>
            </w:r>
          </w:p>
        </w:tc>
        <w:tc>
          <w:tcPr>
            <w:tcW w:w="567" w:type="dxa"/>
          </w:tcPr>
          <w:p w14:paraId="3BED99B5">
            <w:pPr>
              <w:pStyle w:val="55"/>
              <w:rPr>
                <w:sz w:val="14"/>
                <w:szCs w:val="14"/>
              </w:rPr>
            </w:pPr>
          </w:p>
        </w:tc>
        <w:tc>
          <w:tcPr>
            <w:tcW w:w="351" w:type="dxa"/>
          </w:tcPr>
          <w:p w14:paraId="252E883A">
            <w:pPr>
              <w:pStyle w:val="55"/>
              <w:rPr>
                <w:sz w:val="14"/>
                <w:szCs w:val="14"/>
              </w:rPr>
            </w:pPr>
          </w:p>
        </w:tc>
        <w:tc>
          <w:tcPr>
            <w:tcW w:w="542" w:type="dxa"/>
          </w:tcPr>
          <w:p w14:paraId="052CD9E3">
            <w:pPr>
              <w:pStyle w:val="55"/>
              <w:rPr>
                <w:sz w:val="14"/>
                <w:szCs w:val="14"/>
              </w:rPr>
            </w:pPr>
          </w:p>
        </w:tc>
        <w:tc>
          <w:tcPr>
            <w:tcW w:w="544" w:type="dxa"/>
          </w:tcPr>
          <w:p w14:paraId="24AF9183">
            <w:pPr>
              <w:pStyle w:val="55"/>
              <w:rPr>
                <w:sz w:val="14"/>
                <w:szCs w:val="14"/>
              </w:rPr>
            </w:pPr>
          </w:p>
        </w:tc>
        <w:tc>
          <w:tcPr>
            <w:tcW w:w="544" w:type="dxa"/>
          </w:tcPr>
          <w:p w14:paraId="7E6E2355">
            <w:pPr>
              <w:pStyle w:val="55"/>
              <w:rPr>
                <w:sz w:val="14"/>
                <w:szCs w:val="14"/>
              </w:rPr>
            </w:pPr>
          </w:p>
        </w:tc>
        <w:tc>
          <w:tcPr>
            <w:tcW w:w="544" w:type="dxa"/>
          </w:tcPr>
          <w:p w14:paraId="624E5E6D">
            <w:pPr>
              <w:pStyle w:val="55"/>
              <w:rPr>
                <w:sz w:val="14"/>
                <w:szCs w:val="14"/>
              </w:rPr>
            </w:pPr>
          </w:p>
        </w:tc>
        <w:tc>
          <w:tcPr>
            <w:tcW w:w="544" w:type="dxa"/>
          </w:tcPr>
          <w:p w14:paraId="738960D3">
            <w:pPr>
              <w:pStyle w:val="55"/>
              <w:rPr>
                <w:sz w:val="14"/>
                <w:szCs w:val="14"/>
              </w:rPr>
            </w:pPr>
          </w:p>
        </w:tc>
        <w:tc>
          <w:tcPr>
            <w:tcW w:w="544" w:type="dxa"/>
          </w:tcPr>
          <w:p w14:paraId="785467B3">
            <w:pPr>
              <w:pStyle w:val="55"/>
              <w:rPr>
                <w:sz w:val="14"/>
                <w:szCs w:val="14"/>
              </w:rPr>
            </w:pPr>
          </w:p>
        </w:tc>
        <w:tc>
          <w:tcPr>
            <w:tcW w:w="544" w:type="dxa"/>
          </w:tcPr>
          <w:p w14:paraId="591B3157">
            <w:pPr>
              <w:pStyle w:val="55"/>
              <w:rPr>
                <w:sz w:val="14"/>
                <w:szCs w:val="14"/>
              </w:rPr>
            </w:pPr>
          </w:p>
        </w:tc>
        <w:tc>
          <w:tcPr>
            <w:tcW w:w="615" w:type="dxa"/>
          </w:tcPr>
          <w:p w14:paraId="0340C56E">
            <w:pPr>
              <w:pStyle w:val="55"/>
              <w:rPr>
                <w:sz w:val="14"/>
                <w:szCs w:val="14"/>
              </w:rPr>
            </w:pPr>
          </w:p>
        </w:tc>
        <w:tc>
          <w:tcPr>
            <w:tcW w:w="615" w:type="dxa"/>
          </w:tcPr>
          <w:p w14:paraId="66E2B2DF">
            <w:pPr>
              <w:pStyle w:val="55"/>
              <w:rPr>
                <w:sz w:val="14"/>
                <w:szCs w:val="14"/>
              </w:rPr>
            </w:pPr>
          </w:p>
        </w:tc>
        <w:tc>
          <w:tcPr>
            <w:tcW w:w="615" w:type="dxa"/>
          </w:tcPr>
          <w:p w14:paraId="21F511C6">
            <w:pPr>
              <w:pStyle w:val="55"/>
              <w:rPr>
                <w:sz w:val="14"/>
                <w:szCs w:val="14"/>
              </w:rPr>
            </w:pPr>
          </w:p>
        </w:tc>
        <w:tc>
          <w:tcPr>
            <w:tcW w:w="615" w:type="dxa"/>
          </w:tcPr>
          <w:p w14:paraId="51B78D9B">
            <w:pPr>
              <w:pStyle w:val="55"/>
              <w:rPr>
                <w:sz w:val="14"/>
                <w:szCs w:val="14"/>
              </w:rPr>
            </w:pPr>
          </w:p>
        </w:tc>
        <w:tc>
          <w:tcPr>
            <w:tcW w:w="615" w:type="dxa"/>
          </w:tcPr>
          <w:p w14:paraId="09C04163">
            <w:pPr>
              <w:pStyle w:val="55"/>
              <w:rPr>
                <w:sz w:val="14"/>
                <w:szCs w:val="14"/>
              </w:rPr>
            </w:pPr>
          </w:p>
        </w:tc>
      </w:tr>
      <w:tr w14:paraId="7D75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696" w:type="dxa"/>
          </w:tcPr>
          <w:p w14:paraId="22F13CE1">
            <w:pPr>
              <w:pStyle w:val="54"/>
              <w:rPr>
                <w:sz w:val="14"/>
                <w:szCs w:val="14"/>
              </w:rPr>
            </w:pPr>
            <w:r>
              <w:rPr>
                <w:sz w:val="14"/>
                <w:szCs w:val="14"/>
              </w:rPr>
              <w:t xml:space="preserve">#3 </w:t>
            </w:r>
          </w:p>
        </w:tc>
        <w:tc>
          <w:tcPr>
            <w:tcW w:w="567" w:type="dxa"/>
          </w:tcPr>
          <w:p w14:paraId="1BB93D83">
            <w:pPr>
              <w:pStyle w:val="55"/>
              <w:rPr>
                <w:sz w:val="14"/>
                <w:szCs w:val="14"/>
              </w:rPr>
            </w:pPr>
          </w:p>
        </w:tc>
        <w:tc>
          <w:tcPr>
            <w:tcW w:w="351" w:type="dxa"/>
          </w:tcPr>
          <w:p w14:paraId="2C797FCA">
            <w:pPr>
              <w:pStyle w:val="55"/>
              <w:rPr>
                <w:sz w:val="14"/>
                <w:szCs w:val="14"/>
              </w:rPr>
            </w:pPr>
          </w:p>
        </w:tc>
        <w:tc>
          <w:tcPr>
            <w:tcW w:w="542" w:type="dxa"/>
          </w:tcPr>
          <w:p w14:paraId="4C2840DF">
            <w:pPr>
              <w:pStyle w:val="55"/>
              <w:rPr>
                <w:sz w:val="14"/>
                <w:szCs w:val="14"/>
              </w:rPr>
            </w:pPr>
          </w:p>
        </w:tc>
        <w:tc>
          <w:tcPr>
            <w:tcW w:w="544" w:type="dxa"/>
          </w:tcPr>
          <w:p w14:paraId="3F4D98B5">
            <w:pPr>
              <w:pStyle w:val="55"/>
              <w:rPr>
                <w:sz w:val="14"/>
                <w:szCs w:val="14"/>
              </w:rPr>
            </w:pPr>
          </w:p>
        </w:tc>
        <w:tc>
          <w:tcPr>
            <w:tcW w:w="544" w:type="dxa"/>
          </w:tcPr>
          <w:p w14:paraId="1EE82E99">
            <w:pPr>
              <w:pStyle w:val="55"/>
              <w:rPr>
                <w:sz w:val="14"/>
                <w:szCs w:val="14"/>
              </w:rPr>
            </w:pPr>
          </w:p>
        </w:tc>
        <w:tc>
          <w:tcPr>
            <w:tcW w:w="544" w:type="dxa"/>
          </w:tcPr>
          <w:p w14:paraId="4C506B10">
            <w:pPr>
              <w:pStyle w:val="55"/>
              <w:rPr>
                <w:sz w:val="14"/>
                <w:szCs w:val="14"/>
              </w:rPr>
            </w:pPr>
          </w:p>
        </w:tc>
        <w:tc>
          <w:tcPr>
            <w:tcW w:w="544" w:type="dxa"/>
          </w:tcPr>
          <w:p w14:paraId="44282997">
            <w:pPr>
              <w:pStyle w:val="55"/>
              <w:rPr>
                <w:sz w:val="14"/>
                <w:szCs w:val="14"/>
              </w:rPr>
            </w:pPr>
          </w:p>
        </w:tc>
        <w:tc>
          <w:tcPr>
            <w:tcW w:w="544" w:type="dxa"/>
          </w:tcPr>
          <w:p w14:paraId="53D06B75">
            <w:pPr>
              <w:pStyle w:val="55"/>
              <w:rPr>
                <w:sz w:val="14"/>
                <w:szCs w:val="14"/>
              </w:rPr>
            </w:pPr>
          </w:p>
        </w:tc>
        <w:tc>
          <w:tcPr>
            <w:tcW w:w="544" w:type="dxa"/>
          </w:tcPr>
          <w:p w14:paraId="7DB74D07">
            <w:pPr>
              <w:pStyle w:val="55"/>
              <w:rPr>
                <w:sz w:val="14"/>
                <w:szCs w:val="14"/>
              </w:rPr>
            </w:pPr>
          </w:p>
        </w:tc>
        <w:tc>
          <w:tcPr>
            <w:tcW w:w="615" w:type="dxa"/>
          </w:tcPr>
          <w:p w14:paraId="7C130A76">
            <w:pPr>
              <w:pStyle w:val="55"/>
              <w:rPr>
                <w:sz w:val="14"/>
                <w:szCs w:val="14"/>
              </w:rPr>
            </w:pPr>
          </w:p>
        </w:tc>
        <w:tc>
          <w:tcPr>
            <w:tcW w:w="615" w:type="dxa"/>
          </w:tcPr>
          <w:p w14:paraId="01855A11">
            <w:pPr>
              <w:pStyle w:val="55"/>
              <w:rPr>
                <w:sz w:val="14"/>
                <w:szCs w:val="14"/>
              </w:rPr>
            </w:pPr>
          </w:p>
        </w:tc>
        <w:tc>
          <w:tcPr>
            <w:tcW w:w="615" w:type="dxa"/>
          </w:tcPr>
          <w:p w14:paraId="73DCE1C4">
            <w:pPr>
              <w:pStyle w:val="55"/>
              <w:rPr>
                <w:sz w:val="14"/>
                <w:szCs w:val="14"/>
              </w:rPr>
            </w:pPr>
          </w:p>
        </w:tc>
        <w:tc>
          <w:tcPr>
            <w:tcW w:w="615" w:type="dxa"/>
          </w:tcPr>
          <w:p w14:paraId="7BCE00C1">
            <w:pPr>
              <w:pStyle w:val="55"/>
              <w:rPr>
                <w:sz w:val="14"/>
                <w:szCs w:val="14"/>
              </w:rPr>
            </w:pPr>
          </w:p>
        </w:tc>
        <w:tc>
          <w:tcPr>
            <w:tcW w:w="615" w:type="dxa"/>
          </w:tcPr>
          <w:p w14:paraId="28FFEEB7">
            <w:pPr>
              <w:pStyle w:val="55"/>
              <w:rPr>
                <w:sz w:val="14"/>
                <w:szCs w:val="14"/>
              </w:rPr>
            </w:pPr>
          </w:p>
        </w:tc>
      </w:tr>
    </w:tbl>
    <w:p w14:paraId="267C01D8"/>
    <w:p w14:paraId="7E5F91B5">
      <w:pPr>
        <w:pStyle w:val="2"/>
      </w:pPr>
      <w:r>
        <w:t>A.2</w:t>
      </w:r>
      <w:r>
        <w:tab/>
      </w:r>
      <w:r>
        <w:t>Mapping between Key Issues and Solutions</w:t>
      </w:r>
    </w:p>
    <w:p w14:paraId="3365CF94">
      <w:pPr>
        <w:pStyle w:val="58"/>
        <w:rPr>
          <w:rFonts w:eastAsiaTheme="minorEastAsia"/>
        </w:rPr>
      </w:pPr>
      <w:r>
        <w:rPr>
          <w:rFonts w:eastAsiaTheme="minorEastAsia"/>
        </w:rPr>
        <w:t>Table A.3-1: Mapping of Solutions to Key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14:paraId="193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restart"/>
            <w:tcBorders>
              <w:top w:val="single" w:color="auto" w:sz="4" w:space="0"/>
              <w:left w:val="single" w:color="auto" w:sz="4" w:space="0"/>
              <w:right w:val="single" w:color="auto" w:sz="4" w:space="0"/>
            </w:tcBorders>
          </w:tcPr>
          <w:p w14:paraId="63D9404C">
            <w:pPr>
              <w:pStyle w:val="54"/>
              <w:rPr>
                <w:rFonts w:eastAsia="等线"/>
                <w:lang w:eastAsia="zh-CN"/>
              </w:rPr>
            </w:pPr>
            <w:r>
              <w:rPr>
                <w:rFonts w:eastAsia="等线"/>
                <w:lang w:eastAsia="zh-CN"/>
              </w:rPr>
              <w:t>Solutions</w:t>
            </w:r>
          </w:p>
        </w:tc>
        <w:tc>
          <w:tcPr>
            <w:tcW w:w="8593" w:type="dxa"/>
            <w:gridSpan w:val="19"/>
            <w:tcBorders>
              <w:top w:val="single" w:color="auto" w:sz="4" w:space="0"/>
              <w:left w:val="single" w:color="auto" w:sz="4" w:space="0"/>
              <w:bottom w:val="single" w:color="auto" w:sz="4" w:space="0"/>
              <w:right w:val="single" w:color="auto" w:sz="4" w:space="0"/>
            </w:tcBorders>
          </w:tcPr>
          <w:p w14:paraId="20849427">
            <w:pPr>
              <w:pStyle w:val="54"/>
              <w:rPr>
                <w:rFonts w:eastAsia="等线"/>
                <w:lang w:eastAsia="zh-CN"/>
              </w:rPr>
            </w:pPr>
            <w:r>
              <w:rPr>
                <w:rFonts w:eastAsia="等线"/>
                <w:lang w:eastAsia="zh-CN"/>
              </w:rPr>
              <w:t>Key Issues</w:t>
            </w:r>
          </w:p>
        </w:tc>
      </w:tr>
      <w:tr w14:paraId="5A18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continue"/>
            <w:tcBorders>
              <w:left w:val="single" w:color="auto" w:sz="4" w:space="0"/>
              <w:bottom w:val="single" w:color="auto" w:sz="4" w:space="0"/>
              <w:right w:val="single" w:color="auto" w:sz="4" w:space="0"/>
            </w:tcBorders>
          </w:tcPr>
          <w:p w14:paraId="0B9D480B">
            <w:pPr>
              <w:pStyle w:val="54"/>
              <w:rPr>
                <w:rFonts w:eastAsia="等线"/>
                <w:lang w:eastAsia="zh-CN"/>
              </w:rPr>
            </w:pPr>
          </w:p>
        </w:tc>
        <w:tc>
          <w:tcPr>
            <w:tcW w:w="787" w:type="dxa"/>
            <w:tcBorders>
              <w:top w:val="single" w:color="auto" w:sz="4" w:space="0"/>
              <w:left w:val="single" w:color="auto" w:sz="4" w:space="0"/>
              <w:bottom w:val="single" w:color="auto" w:sz="4" w:space="0"/>
              <w:right w:val="single" w:color="auto" w:sz="4" w:space="0"/>
            </w:tcBorders>
          </w:tcPr>
          <w:p w14:paraId="2BE17449">
            <w:pPr>
              <w:pStyle w:val="54"/>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14:paraId="0336E765">
            <w:pPr>
              <w:pStyle w:val="54"/>
              <w:rPr>
                <w:rFonts w:eastAsia="等线"/>
                <w:lang w:eastAsia="zh-CN"/>
              </w:rPr>
            </w:pPr>
            <w:r>
              <w:rPr>
                <w:rFonts w:eastAsia="等线"/>
                <w:lang w:eastAsia="zh-CN"/>
              </w:rPr>
              <w:t>#Q</w:t>
            </w:r>
          </w:p>
        </w:tc>
        <w:tc>
          <w:tcPr>
            <w:tcW w:w="430" w:type="dxa"/>
            <w:tcBorders>
              <w:top w:val="single" w:color="auto" w:sz="4" w:space="0"/>
              <w:left w:val="single" w:color="auto" w:sz="4" w:space="0"/>
              <w:bottom w:val="single" w:color="auto" w:sz="4" w:space="0"/>
              <w:right w:val="single" w:color="auto" w:sz="4" w:space="0"/>
            </w:tcBorders>
          </w:tcPr>
          <w:p w14:paraId="6C57BD1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FF2747">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2B79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E9B06BD">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5E2812">
            <w:pPr>
              <w:pStyle w:val="54"/>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73342935">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31DBB09">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D0796">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38CBA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AE8939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71DE5E">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6C9AF0">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F80940B">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C664D">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AD7EEC">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AEB139A">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75BDC21">
            <w:pPr>
              <w:pStyle w:val="54"/>
              <w:rPr>
                <w:rFonts w:eastAsia="等线"/>
                <w:lang w:eastAsia="zh-CN"/>
              </w:rPr>
            </w:pPr>
          </w:p>
        </w:tc>
      </w:tr>
      <w:tr w14:paraId="3CB6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EF28CF9">
            <w:pPr>
              <w:pStyle w:val="54"/>
              <w:rPr>
                <w:rFonts w:eastAsia="等线"/>
                <w:lang w:eastAsia="zh-CN"/>
              </w:rPr>
            </w:pPr>
            <w:r>
              <w:rPr>
                <w:rFonts w:eastAsia="等线"/>
                <w:lang w:eastAsia="zh-CN"/>
              </w:rPr>
              <w:t>#X</w:t>
            </w:r>
          </w:p>
        </w:tc>
        <w:tc>
          <w:tcPr>
            <w:tcW w:w="787" w:type="dxa"/>
            <w:tcBorders>
              <w:top w:val="single" w:color="auto" w:sz="4" w:space="0"/>
              <w:left w:val="single" w:color="auto" w:sz="4" w:space="0"/>
              <w:bottom w:val="single" w:color="auto" w:sz="4" w:space="0"/>
              <w:right w:val="single" w:color="auto" w:sz="4" w:space="0"/>
            </w:tcBorders>
          </w:tcPr>
          <w:p w14:paraId="3A171F66">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41C581C">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6E6CEBA8">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982CA">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33B7BD7">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0AB5A1">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1E6C91D">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3DBE3F7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95A1A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567734F">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CBF904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0E503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27AA0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B22E1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9F5C5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A60E4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F7DCA9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D23A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71B486C">
            <w:pPr>
              <w:pStyle w:val="55"/>
              <w:rPr>
                <w:rFonts w:eastAsia="等线"/>
                <w:lang w:eastAsia="zh-CN"/>
              </w:rPr>
            </w:pPr>
          </w:p>
        </w:tc>
      </w:tr>
      <w:tr w14:paraId="4DB3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19FD8F1">
            <w:pPr>
              <w:pStyle w:val="54"/>
              <w:rPr>
                <w:rFonts w:eastAsia="等线"/>
                <w:lang w:eastAsia="zh-CN"/>
              </w:rPr>
            </w:pPr>
            <w:r>
              <w:rPr>
                <w:rFonts w:eastAsia="等线"/>
                <w:lang w:eastAsia="zh-CN"/>
              </w:rPr>
              <w:t>#Y</w:t>
            </w:r>
          </w:p>
        </w:tc>
        <w:tc>
          <w:tcPr>
            <w:tcW w:w="787" w:type="dxa"/>
            <w:tcBorders>
              <w:top w:val="single" w:color="auto" w:sz="4" w:space="0"/>
              <w:left w:val="single" w:color="auto" w:sz="4" w:space="0"/>
              <w:bottom w:val="single" w:color="auto" w:sz="4" w:space="0"/>
              <w:right w:val="single" w:color="auto" w:sz="4" w:space="0"/>
            </w:tcBorders>
          </w:tcPr>
          <w:p w14:paraId="5C526400">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FD334A8">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4497F702">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4EBE9BC">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9729B40">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BACACD">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5031189">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1C4806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A7DA0E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931A2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E752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C0205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5A4BF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53B04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19E4EC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4066E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EB7AFFD">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E7461E">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79B221">
            <w:pPr>
              <w:pStyle w:val="55"/>
              <w:rPr>
                <w:rFonts w:eastAsia="等线"/>
                <w:lang w:eastAsia="zh-CN"/>
              </w:rPr>
            </w:pPr>
          </w:p>
        </w:tc>
      </w:tr>
    </w:tbl>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2034E23"/>
    <w:rsid w:val="021B0EF2"/>
    <w:rsid w:val="02441F1E"/>
    <w:rsid w:val="02C34085"/>
    <w:rsid w:val="037E5B4D"/>
    <w:rsid w:val="0383212E"/>
    <w:rsid w:val="03E66A74"/>
    <w:rsid w:val="0458580D"/>
    <w:rsid w:val="04BF3856"/>
    <w:rsid w:val="04CD3654"/>
    <w:rsid w:val="058645FB"/>
    <w:rsid w:val="05AA02EA"/>
    <w:rsid w:val="06FF01C2"/>
    <w:rsid w:val="084D5F4D"/>
    <w:rsid w:val="088E0696"/>
    <w:rsid w:val="08CA4C78"/>
    <w:rsid w:val="08DD4B2A"/>
    <w:rsid w:val="09246501"/>
    <w:rsid w:val="09575C4D"/>
    <w:rsid w:val="09993220"/>
    <w:rsid w:val="09A8018A"/>
    <w:rsid w:val="0A2569C5"/>
    <w:rsid w:val="0A381A3F"/>
    <w:rsid w:val="0A4A6F54"/>
    <w:rsid w:val="0AC51915"/>
    <w:rsid w:val="0ADD2F10"/>
    <w:rsid w:val="0AF67B2D"/>
    <w:rsid w:val="0B17311C"/>
    <w:rsid w:val="0B250BAE"/>
    <w:rsid w:val="0B7A250D"/>
    <w:rsid w:val="0BA076AD"/>
    <w:rsid w:val="0BC70F46"/>
    <w:rsid w:val="0C5506DE"/>
    <w:rsid w:val="0D003464"/>
    <w:rsid w:val="0DC14423"/>
    <w:rsid w:val="0DEB68E4"/>
    <w:rsid w:val="0DF465A6"/>
    <w:rsid w:val="0DF86616"/>
    <w:rsid w:val="0E041A0C"/>
    <w:rsid w:val="0E062050"/>
    <w:rsid w:val="0E7019A5"/>
    <w:rsid w:val="0EA37FCC"/>
    <w:rsid w:val="0ED07E5C"/>
    <w:rsid w:val="0F4A5BA4"/>
    <w:rsid w:val="0F6E4136"/>
    <w:rsid w:val="0FF77685"/>
    <w:rsid w:val="101D7AFE"/>
    <w:rsid w:val="106A208B"/>
    <w:rsid w:val="1090155C"/>
    <w:rsid w:val="112E6EBB"/>
    <w:rsid w:val="118956E7"/>
    <w:rsid w:val="119518D9"/>
    <w:rsid w:val="11EC522D"/>
    <w:rsid w:val="11F70688"/>
    <w:rsid w:val="12394975"/>
    <w:rsid w:val="1295728D"/>
    <w:rsid w:val="136F6527"/>
    <w:rsid w:val="13725976"/>
    <w:rsid w:val="1373053C"/>
    <w:rsid w:val="1376180B"/>
    <w:rsid w:val="13A670CA"/>
    <w:rsid w:val="13EC5F71"/>
    <w:rsid w:val="14575AE1"/>
    <w:rsid w:val="14A26281"/>
    <w:rsid w:val="15024C97"/>
    <w:rsid w:val="153041A6"/>
    <w:rsid w:val="15523360"/>
    <w:rsid w:val="15A00DC2"/>
    <w:rsid w:val="177E21A4"/>
    <w:rsid w:val="195F7C30"/>
    <w:rsid w:val="198E19EC"/>
    <w:rsid w:val="19F5000A"/>
    <w:rsid w:val="1A0D324C"/>
    <w:rsid w:val="1AA2590D"/>
    <w:rsid w:val="1B725DB4"/>
    <w:rsid w:val="1BDB2542"/>
    <w:rsid w:val="1BF451CD"/>
    <w:rsid w:val="1C091D8D"/>
    <w:rsid w:val="1CBD3C6A"/>
    <w:rsid w:val="1CF57A8F"/>
    <w:rsid w:val="1D222970"/>
    <w:rsid w:val="1D756C35"/>
    <w:rsid w:val="1D854F62"/>
    <w:rsid w:val="1D8E0577"/>
    <w:rsid w:val="1E0E611F"/>
    <w:rsid w:val="1E1B2A71"/>
    <w:rsid w:val="1E51534F"/>
    <w:rsid w:val="1E72493D"/>
    <w:rsid w:val="1E7A4110"/>
    <w:rsid w:val="1EBC3110"/>
    <w:rsid w:val="1EF83782"/>
    <w:rsid w:val="1F0771F7"/>
    <w:rsid w:val="1F212DDF"/>
    <w:rsid w:val="1FD72DA6"/>
    <w:rsid w:val="20016E9F"/>
    <w:rsid w:val="207728D1"/>
    <w:rsid w:val="20DD2ECA"/>
    <w:rsid w:val="20EA1769"/>
    <w:rsid w:val="210A465D"/>
    <w:rsid w:val="2124626D"/>
    <w:rsid w:val="216827F1"/>
    <w:rsid w:val="21B6105F"/>
    <w:rsid w:val="237F470C"/>
    <w:rsid w:val="23ED1676"/>
    <w:rsid w:val="2417129F"/>
    <w:rsid w:val="247B506A"/>
    <w:rsid w:val="255F2A47"/>
    <w:rsid w:val="25E90563"/>
    <w:rsid w:val="2690611C"/>
    <w:rsid w:val="26AF453E"/>
    <w:rsid w:val="26B12C2C"/>
    <w:rsid w:val="26B63CA1"/>
    <w:rsid w:val="26F61EFB"/>
    <w:rsid w:val="27747CB6"/>
    <w:rsid w:val="279C5438"/>
    <w:rsid w:val="27A20A97"/>
    <w:rsid w:val="289406A2"/>
    <w:rsid w:val="28CD7CC8"/>
    <w:rsid w:val="290E23A4"/>
    <w:rsid w:val="294A397A"/>
    <w:rsid w:val="29755EDD"/>
    <w:rsid w:val="29975559"/>
    <w:rsid w:val="29E74DB9"/>
    <w:rsid w:val="2AA24C88"/>
    <w:rsid w:val="2B044D71"/>
    <w:rsid w:val="2B1E12BC"/>
    <w:rsid w:val="2B225799"/>
    <w:rsid w:val="2B4F7D3E"/>
    <w:rsid w:val="2BBB56F6"/>
    <w:rsid w:val="2C5A1CD2"/>
    <w:rsid w:val="2C602447"/>
    <w:rsid w:val="2C9A34F8"/>
    <w:rsid w:val="2CC66F08"/>
    <w:rsid w:val="2D303EC8"/>
    <w:rsid w:val="2D382D71"/>
    <w:rsid w:val="2E13000A"/>
    <w:rsid w:val="2E32151A"/>
    <w:rsid w:val="2E517468"/>
    <w:rsid w:val="2EA72D69"/>
    <w:rsid w:val="2F171C9D"/>
    <w:rsid w:val="2F3F6D74"/>
    <w:rsid w:val="2F4A23A5"/>
    <w:rsid w:val="304D1306"/>
    <w:rsid w:val="308333A6"/>
    <w:rsid w:val="317C5C8C"/>
    <w:rsid w:val="31921AAF"/>
    <w:rsid w:val="327C0C9B"/>
    <w:rsid w:val="3330157F"/>
    <w:rsid w:val="33C70135"/>
    <w:rsid w:val="349E40E0"/>
    <w:rsid w:val="34AC731F"/>
    <w:rsid w:val="34B064B9"/>
    <w:rsid w:val="34E53962"/>
    <w:rsid w:val="351C27B0"/>
    <w:rsid w:val="352C3FC8"/>
    <w:rsid w:val="35645510"/>
    <w:rsid w:val="360A0D3D"/>
    <w:rsid w:val="36E83F1F"/>
    <w:rsid w:val="37266088"/>
    <w:rsid w:val="37F479DA"/>
    <w:rsid w:val="38026CF0"/>
    <w:rsid w:val="38C116AD"/>
    <w:rsid w:val="393E0C76"/>
    <w:rsid w:val="39D6666B"/>
    <w:rsid w:val="39E12011"/>
    <w:rsid w:val="3A6724BC"/>
    <w:rsid w:val="3A751FF8"/>
    <w:rsid w:val="3B1B48C3"/>
    <w:rsid w:val="3B344A3C"/>
    <w:rsid w:val="3B555A2E"/>
    <w:rsid w:val="3CE73FFB"/>
    <w:rsid w:val="3D4C5F1D"/>
    <w:rsid w:val="3ECD2378"/>
    <w:rsid w:val="3F246E28"/>
    <w:rsid w:val="3F2665DB"/>
    <w:rsid w:val="3F855340"/>
    <w:rsid w:val="3F8844F1"/>
    <w:rsid w:val="3FA6711C"/>
    <w:rsid w:val="40F62955"/>
    <w:rsid w:val="42406AE6"/>
    <w:rsid w:val="429D0359"/>
    <w:rsid w:val="44126C12"/>
    <w:rsid w:val="44AD6911"/>
    <w:rsid w:val="454937BA"/>
    <w:rsid w:val="456C1863"/>
    <w:rsid w:val="45E45D6C"/>
    <w:rsid w:val="46942157"/>
    <w:rsid w:val="472707CD"/>
    <w:rsid w:val="47412287"/>
    <w:rsid w:val="47800E5B"/>
    <w:rsid w:val="47CD093E"/>
    <w:rsid w:val="48164D90"/>
    <w:rsid w:val="481E765C"/>
    <w:rsid w:val="48FB1A87"/>
    <w:rsid w:val="49635A3D"/>
    <w:rsid w:val="4A8C7838"/>
    <w:rsid w:val="4ABD76A3"/>
    <w:rsid w:val="4BD56877"/>
    <w:rsid w:val="4BFA0524"/>
    <w:rsid w:val="4C7E2F03"/>
    <w:rsid w:val="4CB074DF"/>
    <w:rsid w:val="4CDB5DA5"/>
    <w:rsid w:val="4CE865CF"/>
    <w:rsid w:val="4D155616"/>
    <w:rsid w:val="4D1B4BF6"/>
    <w:rsid w:val="4D23575F"/>
    <w:rsid w:val="4D2F3A60"/>
    <w:rsid w:val="4D6A68F5"/>
    <w:rsid w:val="4D834470"/>
    <w:rsid w:val="4DA954F8"/>
    <w:rsid w:val="4F391765"/>
    <w:rsid w:val="4F4977F9"/>
    <w:rsid w:val="4F6B78DB"/>
    <w:rsid w:val="4FE528A4"/>
    <w:rsid w:val="50B15470"/>
    <w:rsid w:val="513242BC"/>
    <w:rsid w:val="513F61A5"/>
    <w:rsid w:val="51546244"/>
    <w:rsid w:val="51EE6435"/>
    <w:rsid w:val="529F2FF6"/>
    <w:rsid w:val="52D03D8D"/>
    <w:rsid w:val="52DC127D"/>
    <w:rsid w:val="534F3992"/>
    <w:rsid w:val="535A0236"/>
    <w:rsid w:val="54532EC8"/>
    <w:rsid w:val="54F85E13"/>
    <w:rsid w:val="550259DF"/>
    <w:rsid w:val="55AF2A84"/>
    <w:rsid w:val="560811D0"/>
    <w:rsid w:val="56635347"/>
    <w:rsid w:val="56644F18"/>
    <w:rsid w:val="570D7FD4"/>
    <w:rsid w:val="577B33D6"/>
    <w:rsid w:val="57A85FDD"/>
    <w:rsid w:val="584026D9"/>
    <w:rsid w:val="58547A61"/>
    <w:rsid w:val="58CE3242"/>
    <w:rsid w:val="59484FC5"/>
    <w:rsid w:val="59486D73"/>
    <w:rsid w:val="59514F24"/>
    <w:rsid w:val="5A006E37"/>
    <w:rsid w:val="5C1E54E6"/>
    <w:rsid w:val="5C465896"/>
    <w:rsid w:val="5C575ECB"/>
    <w:rsid w:val="5CE7687A"/>
    <w:rsid w:val="5D5F6439"/>
    <w:rsid w:val="5DDE1391"/>
    <w:rsid w:val="5DDF358F"/>
    <w:rsid w:val="5E2F2BA5"/>
    <w:rsid w:val="5E3F3F3F"/>
    <w:rsid w:val="5E6D2A13"/>
    <w:rsid w:val="5ED26F4F"/>
    <w:rsid w:val="5ED6097D"/>
    <w:rsid w:val="5F0454EA"/>
    <w:rsid w:val="5F3062DF"/>
    <w:rsid w:val="5F925B11"/>
    <w:rsid w:val="60265063"/>
    <w:rsid w:val="60526897"/>
    <w:rsid w:val="60CF4A66"/>
    <w:rsid w:val="613876CD"/>
    <w:rsid w:val="61577CEC"/>
    <w:rsid w:val="616F244D"/>
    <w:rsid w:val="61765028"/>
    <w:rsid w:val="622B1C79"/>
    <w:rsid w:val="624E0F13"/>
    <w:rsid w:val="626562A0"/>
    <w:rsid w:val="62F92F29"/>
    <w:rsid w:val="63175A08"/>
    <w:rsid w:val="634C17BE"/>
    <w:rsid w:val="63C052A4"/>
    <w:rsid w:val="64400562"/>
    <w:rsid w:val="645268DD"/>
    <w:rsid w:val="64555BC0"/>
    <w:rsid w:val="64E50514"/>
    <w:rsid w:val="658D4F34"/>
    <w:rsid w:val="65A74E21"/>
    <w:rsid w:val="667154C6"/>
    <w:rsid w:val="66A2003E"/>
    <w:rsid w:val="66C45526"/>
    <w:rsid w:val="66D457C1"/>
    <w:rsid w:val="66F74A7C"/>
    <w:rsid w:val="674C151B"/>
    <w:rsid w:val="676705B3"/>
    <w:rsid w:val="680B7554"/>
    <w:rsid w:val="680F7AC7"/>
    <w:rsid w:val="682341A6"/>
    <w:rsid w:val="683226F9"/>
    <w:rsid w:val="68380F62"/>
    <w:rsid w:val="68425464"/>
    <w:rsid w:val="68745F2D"/>
    <w:rsid w:val="68AF601C"/>
    <w:rsid w:val="6913142C"/>
    <w:rsid w:val="69586B2A"/>
    <w:rsid w:val="698450AA"/>
    <w:rsid w:val="69F273EE"/>
    <w:rsid w:val="6A16241A"/>
    <w:rsid w:val="6A162576"/>
    <w:rsid w:val="6A2349DC"/>
    <w:rsid w:val="6A2F5543"/>
    <w:rsid w:val="6AF44007"/>
    <w:rsid w:val="6B667481"/>
    <w:rsid w:val="6BE50B5D"/>
    <w:rsid w:val="6C7F49DE"/>
    <w:rsid w:val="6CAE6026"/>
    <w:rsid w:val="6D717E9F"/>
    <w:rsid w:val="6E3A4A84"/>
    <w:rsid w:val="6E41530E"/>
    <w:rsid w:val="6ED76777"/>
    <w:rsid w:val="6FBB39A3"/>
    <w:rsid w:val="6FC80329"/>
    <w:rsid w:val="70CA25C0"/>
    <w:rsid w:val="711815B5"/>
    <w:rsid w:val="71D85554"/>
    <w:rsid w:val="71EE645F"/>
    <w:rsid w:val="72432714"/>
    <w:rsid w:val="72565E22"/>
    <w:rsid w:val="727A2A79"/>
    <w:rsid w:val="72A24EE4"/>
    <w:rsid w:val="7315161C"/>
    <w:rsid w:val="739F4EC0"/>
    <w:rsid w:val="73F84155"/>
    <w:rsid w:val="73FE3C1B"/>
    <w:rsid w:val="74482949"/>
    <w:rsid w:val="7450169B"/>
    <w:rsid w:val="74D61027"/>
    <w:rsid w:val="74E4243A"/>
    <w:rsid w:val="75BF7F65"/>
    <w:rsid w:val="76091AB6"/>
    <w:rsid w:val="765353AD"/>
    <w:rsid w:val="769E5A34"/>
    <w:rsid w:val="76DC2836"/>
    <w:rsid w:val="76F667DF"/>
    <w:rsid w:val="77000D49"/>
    <w:rsid w:val="77114A0B"/>
    <w:rsid w:val="7728668A"/>
    <w:rsid w:val="77D36B23"/>
    <w:rsid w:val="781E71C5"/>
    <w:rsid w:val="782557BB"/>
    <w:rsid w:val="798110B1"/>
    <w:rsid w:val="79B64C9F"/>
    <w:rsid w:val="79D7762B"/>
    <w:rsid w:val="79E14685"/>
    <w:rsid w:val="79EA0F1A"/>
    <w:rsid w:val="7A0177CE"/>
    <w:rsid w:val="7A2F56B9"/>
    <w:rsid w:val="7A3E6F9D"/>
    <w:rsid w:val="7A576F7D"/>
    <w:rsid w:val="7B492B25"/>
    <w:rsid w:val="7B5D0D24"/>
    <w:rsid w:val="7BA07DAA"/>
    <w:rsid w:val="7BB6521A"/>
    <w:rsid w:val="7C5867DC"/>
    <w:rsid w:val="7C792C12"/>
    <w:rsid w:val="7C811F23"/>
    <w:rsid w:val="7C9537CE"/>
    <w:rsid w:val="7CEA2CFB"/>
    <w:rsid w:val="7D8A0903"/>
    <w:rsid w:val="7D8F476B"/>
    <w:rsid w:val="7DB139A6"/>
    <w:rsid w:val="7DF76D39"/>
    <w:rsid w:val="7E2D723B"/>
    <w:rsid w:val="7E795155"/>
    <w:rsid w:val="7F477001"/>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12</Pages>
  <Words>4537</Words>
  <Characters>30636</Characters>
  <Lines>24</Lines>
  <Paragraphs>6</Paragraphs>
  <TotalTime>29</TotalTime>
  <ScaleCrop>false</ScaleCrop>
  <LinksUpToDate>false</LinksUpToDate>
  <CharactersWithSpaces>35036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2026-01-29T06:11:25Z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7B121CCB98754AE1B451A6FD5189945E_13</vt:lpwstr>
  </property>
  <property fmtid="{D5CDD505-2E9C-101B-9397-08002B2CF9AE}" pid="5" name="KSOTemplateDocerSaveRecord">
    <vt:lpwstr>eyJoZGlkIjoiMzYwYWE2ZGE2OWRmMDA1ZTU4MTc3YjdhOWM1NzIzMTkiLCJ1c2VySWQiOiIxNzgxODczODYxIn0=</vt:lpwstr>
  </property>
</Properties>
</file>